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D308" w14:textId="77777777" w:rsidR="00B840A0" w:rsidRDefault="00000000">
      <w:pPr>
        <w:pStyle w:val="BodyText"/>
        <w:ind w:left="3360"/>
        <w:rPr>
          <w:rFonts w:ascii="Times New Roman"/>
          <w:sz w:val="20"/>
        </w:rPr>
      </w:pPr>
      <w:r>
        <w:rPr>
          <w:rFonts w:ascii="Times New Roman"/>
          <w:noProof/>
          <w:sz w:val="20"/>
        </w:rPr>
        <w:drawing>
          <wp:inline distT="0" distB="0" distL="0" distR="0" wp14:anchorId="1C9B5D4A" wp14:editId="0F56A040">
            <wp:extent cx="2703844" cy="687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703844" cy="687990"/>
                    </a:xfrm>
                    <a:prstGeom prst="rect">
                      <a:avLst/>
                    </a:prstGeom>
                  </pic:spPr>
                </pic:pic>
              </a:graphicData>
            </a:graphic>
          </wp:inline>
        </w:drawing>
      </w:r>
    </w:p>
    <w:p w14:paraId="1B04B46C" w14:textId="77777777" w:rsidR="00B840A0" w:rsidRDefault="00B840A0">
      <w:pPr>
        <w:pStyle w:val="BodyText"/>
        <w:spacing w:before="11"/>
        <w:rPr>
          <w:rFonts w:ascii="Times New Roman"/>
          <w:sz w:val="17"/>
        </w:rPr>
      </w:pPr>
    </w:p>
    <w:p w14:paraId="1E8A6266" w14:textId="77777777" w:rsidR="00B840A0" w:rsidRDefault="00000000">
      <w:pPr>
        <w:pStyle w:val="BodyText"/>
        <w:spacing w:before="100"/>
        <w:ind w:left="120"/>
      </w:pPr>
      <w:r>
        <w:t>October</w:t>
      </w:r>
      <w:r>
        <w:rPr>
          <w:spacing w:val="-3"/>
        </w:rPr>
        <w:t xml:space="preserve"> </w:t>
      </w:r>
      <w:r>
        <w:t>3,</w:t>
      </w:r>
      <w:r>
        <w:rPr>
          <w:spacing w:val="1"/>
        </w:rPr>
        <w:t xml:space="preserve"> </w:t>
      </w:r>
      <w:r>
        <w:rPr>
          <w:spacing w:val="-4"/>
        </w:rPr>
        <w:t>2022</w:t>
      </w:r>
    </w:p>
    <w:p w14:paraId="3DEDA601" w14:textId="77777777" w:rsidR="00B840A0" w:rsidRDefault="00B840A0">
      <w:pPr>
        <w:pStyle w:val="BodyText"/>
        <w:spacing w:before="1"/>
        <w:rPr>
          <w:sz w:val="23"/>
        </w:rPr>
      </w:pPr>
    </w:p>
    <w:p w14:paraId="6106465F" w14:textId="77777777" w:rsidR="00B840A0" w:rsidRDefault="00000000">
      <w:pPr>
        <w:pStyle w:val="Title"/>
      </w:pPr>
      <w:r>
        <w:rPr>
          <w:spacing w:val="-4"/>
        </w:rPr>
        <w:t>Submitted</w:t>
      </w:r>
      <w:r>
        <w:rPr>
          <w:spacing w:val="-13"/>
        </w:rPr>
        <w:t xml:space="preserve"> </w:t>
      </w:r>
      <w:r>
        <w:rPr>
          <w:spacing w:val="-4"/>
        </w:rPr>
        <w:t>electronically</w:t>
      </w:r>
      <w:r>
        <w:rPr>
          <w:spacing w:val="-12"/>
        </w:rPr>
        <w:t xml:space="preserve"> </w:t>
      </w:r>
      <w:r>
        <w:rPr>
          <w:spacing w:val="-4"/>
        </w:rPr>
        <w:t>via</w:t>
      </w:r>
      <w:r>
        <w:rPr>
          <w:spacing w:val="-11"/>
        </w:rPr>
        <w:t xml:space="preserve"> </w:t>
      </w:r>
      <w:hyperlink r:id="rId7">
        <w:r>
          <w:rPr>
            <w:color w:val="0562C1"/>
            <w:spacing w:val="-4"/>
            <w:u w:val="single" w:color="0562C1"/>
          </w:rPr>
          <w:t>www.regulations.gov</w:t>
        </w:r>
      </w:hyperlink>
    </w:p>
    <w:p w14:paraId="48C6901D" w14:textId="77777777" w:rsidR="00B840A0" w:rsidRDefault="00B840A0">
      <w:pPr>
        <w:pStyle w:val="BodyText"/>
        <w:spacing w:before="8"/>
        <w:rPr>
          <w:i/>
          <w:sz w:val="23"/>
        </w:rPr>
      </w:pPr>
    </w:p>
    <w:p w14:paraId="04938E11" w14:textId="77777777" w:rsidR="00B840A0" w:rsidRDefault="00000000">
      <w:pPr>
        <w:pStyle w:val="BodyText"/>
        <w:spacing w:before="1"/>
        <w:ind w:left="120" w:right="7400"/>
      </w:pPr>
      <w:r>
        <w:t>Melanie Fontes Rainer Director,</w:t>
      </w:r>
      <w:r>
        <w:rPr>
          <w:spacing w:val="-8"/>
        </w:rPr>
        <w:t xml:space="preserve"> </w:t>
      </w:r>
      <w:r>
        <w:t>Office</w:t>
      </w:r>
      <w:r>
        <w:rPr>
          <w:spacing w:val="-9"/>
        </w:rPr>
        <w:t xml:space="preserve"> </w:t>
      </w:r>
      <w:r>
        <w:t>for</w:t>
      </w:r>
      <w:r>
        <w:rPr>
          <w:spacing w:val="-10"/>
        </w:rPr>
        <w:t xml:space="preserve"> </w:t>
      </w:r>
      <w:r>
        <w:t>Civil</w:t>
      </w:r>
      <w:r>
        <w:rPr>
          <w:spacing w:val="-10"/>
        </w:rPr>
        <w:t xml:space="preserve"> </w:t>
      </w:r>
      <w:r>
        <w:t>Rights</w:t>
      </w:r>
    </w:p>
    <w:p w14:paraId="2BBDDA60" w14:textId="77777777" w:rsidR="00B840A0" w:rsidRDefault="00000000">
      <w:pPr>
        <w:pStyle w:val="BodyText"/>
        <w:spacing w:before="1"/>
        <w:ind w:left="120" w:right="5328"/>
      </w:pPr>
      <w:r>
        <w:t>Department</w:t>
      </w:r>
      <w:r>
        <w:rPr>
          <w:spacing w:val="-7"/>
        </w:rPr>
        <w:t xml:space="preserve"> </w:t>
      </w:r>
      <w:r>
        <w:t>of</w:t>
      </w:r>
      <w:r>
        <w:rPr>
          <w:spacing w:val="-8"/>
        </w:rPr>
        <w:t xml:space="preserve"> </w:t>
      </w:r>
      <w:r>
        <w:t>Health</w:t>
      </w:r>
      <w:r>
        <w:rPr>
          <w:spacing w:val="-10"/>
        </w:rPr>
        <w:t xml:space="preserve"> </w:t>
      </w:r>
      <w:r>
        <w:t>and</w:t>
      </w:r>
      <w:r>
        <w:rPr>
          <w:spacing w:val="-8"/>
        </w:rPr>
        <w:t xml:space="preserve"> </w:t>
      </w:r>
      <w:r>
        <w:t>Human</w:t>
      </w:r>
      <w:r>
        <w:rPr>
          <w:spacing w:val="-7"/>
        </w:rPr>
        <w:t xml:space="preserve"> </w:t>
      </w:r>
      <w:r>
        <w:t>Services Hubert H. Humphrey Building</w:t>
      </w:r>
    </w:p>
    <w:p w14:paraId="2D6F5132" w14:textId="77777777" w:rsidR="00B840A0" w:rsidRDefault="00000000">
      <w:pPr>
        <w:pStyle w:val="BodyText"/>
        <w:ind w:left="120" w:right="7400"/>
      </w:pPr>
      <w:r>
        <w:t>200</w:t>
      </w:r>
      <w:r>
        <w:rPr>
          <w:spacing w:val="-13"/>
        </w:rPr>
        <w:t xml:space="preserve"> </w:t>
      </w:r>
      <w:r>
        <w:t>Independence</w:t>
      </w:r>
      <w:r>
        <w:rPr>
          <w:spacing w:val="-13"/>
        </w:rPr>
        <w:t xml:space="preserve"> </w:t>
      </w:r>
      <w:r>
        <w:t>Ave.,</w:t>
      </w:r>
      <w:r>
        <w:rPr>
          <w:spacing w:val="-12"/>
        </w:rPr>
        <w:t xml:space="preserve"> </w:t>
      </w:r>
      <w:r>
        <w:t>SW Washington, DC 20201</w:t>
      </w:r>
    </w:p>
    <w:p w14:paraId="228AA71C" w14:textId="77777777" w:rsidR="00B840A0" w:rsidRDefault="00B840A0">
      <w:pPr>
        <w:pStyle w:val="BodyText"/>
      </w:pPr>
    </w:p>
    <w:p w14:paraId="3C399CA3" w14:textId="77777777" w:rsidR="00B840A0" w:rsidRDefault="00000000">
      <w:pPr>
        <w:pStyle w:val="BodyText"/>
        <w:tabs>
          <w:tab w:val="left" w:pos="839"/>
        </w:tabs>
        <w:ind w:left="840" w:right="146" w:hanging="720"/>
      </w:pPr>
      <w:r>
        <w:rPr>
          <w:spacing w:val="-4"/>
        </w:rPr>
        <w:t>RE:</w:t>
      </w:r>
      <w:r>
        <w:tab/>
        <w:t>Nondiscrimination</w:t>
      </w:r>
      <w:r>
        <w:rPr>
          <w:spacing w:val="-6"/>
        </w:rPr>
        <w:t xml:space="preserve"> </w:t>
      </w:r>
      <w:r>
        <w:t>in</w:t>
      </w:r>
      <w:r>
        <w:rPr>
          <w:spacing w:val="-6"/>
        </w:rPr>
        <w:t xml:space="preserve"> </w:t>
      </w:r>
      <w:r>
        <w:t>Health</w:t>
      </w:r>
      <w:r>
        <w:rPr>
          <w:spacing w:val="-3"/>
        </w:rPr>
        <w:t xml:space="preserve"> </w:t>
      </w:r>
      <w:r>
        <w:t>Programs</w:t>
      </w:r>
      <w:r>
        <w:rPr>
          <w:spacing w:val="-4"/>
        </w:rPr>
        <w:t xml:space="preserve"> </w:t>
      </w:r>
      <w:r>
        <w:t>and</w:t>
      </w:r>
      <w:r>
        <w:rPr>
          <w:spacing w:val="-6"/>
        </w:rPr>
        <w:t xml:space="preserve"> </w:t>
      </w:r>
      <w:r>
        <w:t>Activities</w:t>
      </w:r>
      <w:r>
        <w:rPr>
          <w:spacing w:val="-4"/>
        </w:rPr>
        <w:t xml:space="preserve"> </w:t>
      </w:r>
      <w:r>
        <w:t>Proposed</w:t>
      </w:r>
      <w:r>
        <w:rPr>
          <w:spacing w:val="-4"/>
        </w:rPr>
        <w:t xml:space="preserve"> </w:t>
      </w:r>
      <w:r>
        <w:t>Rule</w:t>
      </w:r>
      <w:r>
        <w:rPr>
          <w:spacing w:val="-3"/>
        </w:rPr>
        <w:t xml:space="preserve"> </w:t>
      </w:r>
      <w:r>
        <w:t>(HHS-OS-2022-0012, RIN 0945-AA17)</w:t>
      </w:r>
    </w:p>
    <w:p w14:paraId="093AED4A" w14:textId="77777777" w:rsidR="00B840A0" w:rsidRDefault="00B840A0">
      <w:pPr>
        <w:pStyle w:val="BodyText"/>
        <w:spacing w:before="1"/>
      </w:pPr>
    </w:p>
    <w:p w14:paraId="34ADDBB8" w14:textId="77777777" w:rsidR="00B840A0" w:rsidRDefault="00000000">
      <w:pPr>
        <w:pStyle w:val="BodyText"/>
        <w:ind w:left="120"/>
      </w:pPr>
      <w:r>
        <w:t>Dear</w:t>
      </w:r>
      <w:r>
        <w:rPr>
          <w:spacing w:val="-2"/>
        </w:rPr>
        <w:t xml:space="preserve"> </w:t>
      </w:r>
      <w:r>
        <w:t>Director</w:t>
      </w:r>
      <w:r>
        <w:rPr>
          <w:spacing w:val="-2"/>
        </w:rPr>
        <w:t xml:space="preserve"> </w:t>
      </w:r>
      <w:r>
        <w:t>Fontes</w:t>
      </w:r>
      <w:r>
        <w:rPr>
          <w:spacing w:val="-2"/>
        </w:rPr>
        <w:t xml:space="preserve"> Rainer:</w:t>
      </w:r>
    </w:p>
    <w:p w14:paraId="0CD2DF4A" w14:textId="77777777" w:rsidR="00B840A0" w:rsidRDefault="00B840A0">
      <w:pPr>
        <w:pStyle w:val="BodyText"/>
        <w:spacing w:before="11"/>
        <w:rPr>
          <w:sz w:val="23"/>
        </w:rPr>
      </w:pPr>
    </w:p>
    <w:p w14:paraId="10CCCB44" w14:textId="77777777" w:rsidR="00B840A0" w:rsidRDefault="00000000">
      <w:pPr>
        <w:pStyle w:val="BodyText"/>
        <w:ind w:left="120" w:right="146"/>
      </w:pPr>
      <w:r>
        <w:t>On behalf of Access Ready, we thank you for the opportunity to submit comments on the Department of Health and Human Services (HHS) Office for Civil Rights’ (OCR) proposal to update</w:t>
      </w:r>
      <w:r>
        <w:rPr>
          <w:spacing w:val="-3"/>
        </w:rPr>
        <w:t xml:space="preserve"> </w:t>
      </w:r>
      <w:r>
        <w:t>the</w:t>
      </w:r>
      <w:r>
        <w:rPr>
          <w:spacing w:val="-3"/>
        </w:rPr>
        <w:t xml:space="preserve"> </w:t>
      </w:r>
      <w:r>
        <w:t>regulations</w:t>
      </w:r>
      <w:r>
        <w:rPr>
          <w:spacing w:val="-4"/>
        </w:rPr>
        <w:t xml:space="preserve"> </w:t>
      </w:r>
      <w:r>
        <w:t>regarding</w:t>
      </w:r>
      <w:r>
        <w:rPr>
          <w:spacing w:val="-2"/>
        </w:rPr>
        <w:t xml:space="preserve"> </w:t>
      </w:r>
      <w:r>
        <w:t>Section</w:t>
      </w:r>
      <w:r>
        <w:rPr>
          <w:spacing w:val="-3"/>
        </w:rPr>
        <w:t xml:space="preserve"> </w:t>
      </w:r>
      <w:r>
        <w:t>1557</w:t>
      </w:r>
      <w:r>
        <w:rPr>
          <w:spacing w:val="-2"/>
        </w:rPr>
        <w:t xml:space="preserve"> </w:t>
      </w:r>
      <w:r>
        <w:t>of</w:t>
      </w:r>
      <w:r>
        <w:rPr>
          <w:spacing w:val="-4"/>
        </w:rPr>
        <w:t xml:space="preserve"> </w:t>
      </w:r>
      <w:r>
        <w:t>the</w:t>
      </w:r>
      <w:r>
        <w:rPr>
          <w:spacing w:val="-3"/>
        </w:rPr>
        <w:t xml:space="preserve"> </w:t>
      </w:r>
      <w:r>
        <w:t>Affordable</w:t>
      </w:r>
      <w:r>
        <w:rPr>
          <w:spacing w:val="-5"/>
        </w:rPr>
        <w:t xml:space="preserve"> </w:t>
      </w:r>
      <w:r>
        <w:t>Care</w:t>
      </w:r>
      <w:r>
        <w:rPr>
          <w:spacing w:val="-3"/>
        </w:rPr>
        <w:t xml:space="preserve"> </w:t>
      </w:r>
      <w:r>
        <w:t>Act,</w:t>
      </w:r>
      <w:r>
        <w:rPr>
          <w:spacing w:val="-2"/>
        </w:rPr>
        <w:t xml:space="preserve"> </w:t>
      </w:r>
      <w:r>
        <w:t>Nondiscrimination</w:t>
      </w:r>
      <w:r>
        <w:rPr>
          <w:spacing w:val="-6"/>
        </w:rPr>
        <w:t xml:space="preserve"> </w:t>
      </w:r>
      <w:r>
        <w:t>in Health Programs and Activities</w:t>
      </w:r>
      <w:r>
        <w:rPr>
          <w:i/>
          <w:sz w:val="25"/>
        </w:rPr>
        <w:t xml:space="preserve">. </w:t>
      </w:r>
      <w:r>
        <w:t>Access Ready is an independent, non-profit, cross-disability education and advocacy organization promoting a policy of inclusion and accessibility of information and communication technology (ICT). Access Ready’s strategies include technical findings, policy discussions, best practices, and advocacy efforts made available to the public through its website (</w:t>
      </w:r>
      <w:hyperlink r:id="rId8">
        <w:r>
          <w:rPr>
            <w:color w:val="0562C1"/>
            <w:u w:val="single" w:color="0562C1"/>
          </w:rPr>
          <w:t>www.accessready.org</w:t>
        </w:r>
      </w:hyperlink>
      <w:r>
        <w:t>), its social media stream, and other public relations efforts. Access Ready believes that inaccessible ICT presents a clear, growing, and present danger to the civic, economic, and social welfare of people with disabilities.</w:t>
      </w:r>
    </w:p>
    <w:p w14:paraId="1B9E97B8" w14:textId="77777777" w:rsidR="00B840A0" w:rsidRDefault="00B840A0">
      <w:pPr>
        <w:pStyle w:val="BodyText"/>
        <w:spacing w:before="11"/>
        <w:rPr>
          <w:sz w:val="22"/>
        </w:rPr>
      </w:pPr>
    </w:p>
    <w:p w14:paraId="2E2F212C" w14:textId="77777777" w:rsidR="00B840A0" w:rsidRDefault="00000000">
      <w:pPr>
        <w:pStyle w:val="BodyText"/>
        <w:ind w:left="119" w:right="132"/>
      </w:pPr>
      <w:r>
        <w:t>Our</w:t>
      </w:r>
      <w:r>
        <w:rPr>
          <w:spacing w:val="-4"/>
        </w:rPr>
        <w:t xml:space="preserve"> </w:t>
      </w:r>
      <w:r>
        <w:t>comments</w:t>
      </w:r>
      <w:r>
        <w:rPr>
          <w:spacing w:val="-4"/>
        </w:rPr>
        <w:t xml:space="preserve"> </w:t>
      </w:r>
      <w:r>
        <w:t>focus</w:t>
      </w:r>
      <w:r>
        <w:rPr>
          <w:spacing w:val="-4"/>
        </w:rPr>
        <w:t xml:space="preserve"> </w:t>
      </w:r>
      <w:r>
        <w:t>on</w:t>
      </w:r>
      <w:r>
        <w:rPr>
          <w:spacing w:val="-3"/>
        </w:rPr>
        <w:t xml:space="preserve"> </w:t>
      </w:r>
      <w:r>
        <w:t>two</w:t>
      </w:r>
      <w:r>
        <w:rPr>
          <w:spacing w:val="-3"/>
        </w:rPr>
        <w:t xml:space="preserve"> </w:t>
      </w:r>
      <w:r>
        <w:t>issues</w:t>
      </w:r>
      <w:r>
        <w:rPr>
          <w:spacing w:val="-4"/>
        </w:rPr>
        <w:t xml:space="preserve"> </w:t>
      </w:r>
      <w:r>
        <w:t>in</w:t>
      </w:r>
      <w:r>
        <w:rPr>
          <w:spacing w:val="-3"/>
        </w:rPr>
        <w:t xml:space="preserve"> </w:t>
      </w:r>
      <w:r>
        <w:t>the</w:t>
      </w:r>
      <w:r>
        <w:rPr>
          <w:spacing w:val="-3"/>
        </w:rPr>
        <w:t xml:space="preserve"> </w:t>
      </w:r>
      <w:r>
        <w:t>rule</w:t>
      </w:r>
      <w:r>
        <w:rPr>
          <w:spacing w:val="-3"/>
        </w:rPr>
        <w:t xml:space="preserve"> </w:t>
      </w:r>
      <w:r>
        <w:t>particularly</w:t>
      </w:r>
      <w:r>
        <w:rPr>
          <w:spacing w:val="-2"/>
        </w:rPr>
        <w:t xml:space="preserve"> </w:t>
      </w:r>
      <w:r>
        <w:t>relevant</w:t>
      </w:r>
      <w:r>
        <w:rPr>
          <w:spacing w:val="-3"/>
        </w:rPr>
        <w:t xml:space="preserve"> </w:t>
      </w:r>
      <w:r>
        <w:t>to</w:t>
      </w:r>
      <w:r>
        <w:rPr>
          <w:spacing w:val="-3"/>
        </w:rPr>
        <w:t xml:space="preserve"> </w:t>
      </w:r>
      <w:r>
        <w:t>accessibility</w:t>
      </w:r>
      <w:r>
        <w:rPr>
          <w:spacing w:val="-2"/>
        </w:rPr>
        <w:t xml:space="preserve"> </w:t>
      </w:r>
      <w:r>
        <w:t>of</w:t>
      </w:r>
      <w:r>
        <w:rPr>
          <w:spacing w:val="-6"/>
        </w:rPr>
        <w:t xml:space="preserve"> </w:t>
      </w:r>
      <w:r>
        <w:t>ICT</w:t>
      </w:r>
      <w:r>
        <w:rPr>
          <w:spacing w:val="-2"/>
        </w:rPr>
        <w:t xml:space="preserve"> </w:t>
      </w:r>
      <w:r>
        <w:t>covered under Section 1557, but we applaud the Department for its broader efforts to ensure nondiscrimination with this proposed rule. Access Ready also strongly supports the comprehensive comments submitted by the Consortium of Constituents with Disabilities (CCD) and the Independence Through Enhancement of Medicare and Medicaid (ITEM) Coalition; Access Ready serves as a member of both coalitions.</w:t>
      </w:r>
    </w:p>
    <w:p w14:paraId="611858B8" w14:textId="77777777" w:rsidR="00B840A0" w:rsidRDefault="00B840A0">
      <w:pPr>
        <w:pStyle w:val="BodyText"/>
        <w:spacing w:before="1"/>
      </w:pPr>
    </w:p>
    <w:p w14:paraId="7E106C79" w14:textId="77777777" w:rsidR="00B840A0" w:rsidRDefault="00000000">
      <w:pPr>
        <w:pStyle w:val="BodyText"/>
        <w:ind w:left="120"/>
      </w:pPr>
      <w:r>
        <w:rPr>
          <w:u w:val="single"/>
        </w:rPr>
        <w:t>Accessibility</w:t>
      </w:r>
      <w:r>
        <w:rPr>
          <w:spacing w:val="-1"/>
          <w:u w:val="single"/>
        </w:rPr>
        <w:t xml:space="preserve"> </w:t>
      </w:r>
      <w:r>
        <w:rPr>
          <w:u w:val="single"/>
        </w:rPr>
        <w:t>of</w:t>
      </w:r>
      <w:r>
        <w:rPr>
          <w:spacing w:val="-5"/>
          <w:u w:val="single"/>
        </w:rPr>
        <w:t xml:space="preserve"> </w:t>
      </w:r>
      <w:r>
        <w:rPr>
          <w:u w:val="single"/>
        </w:rPr>
        <w:t>ICT</w:t>
      </w:r>
      <w:r>
        <w:rPr>
          <w:spacing w:val="-1"/>
          <w:u w:val="single"/>
        </w:rPr>
        <w:t xml:space="preserve"> </w:t>
      </w:r>
      <w:r>
        <w:rPr>
          <w:u w:val="single"/>
        </w:rPr>
        <w:t>for</w:t>
      </w:r>
      <w:r>
        <w:rPr>
          <w:spacing w:val="-3"/>
          <w:u w:val="single"/>
        </w:rPr>
        <w:t xml:space="preserve"> </w:t>
      </w:r>
      <w:r>
        <w:rPr>
          <w:u w:val="single"/>
        </w:rPr>
        <w:t>Individuals</w:t>
      </w:r>
      <w:r>
        <w:rPr>
          <w:spacing w:val="-3"/>
          <w:u w:val="single"/>
        </w:rPr>
        <w:t xml:space="preserve"> </w:t>
      </w:r>
      <w:r>
        <w:rPr>
          <w:u w:val="single"/>
        </w:rPr>
        <w:t>with</w:t>
      </w:r>
      <w:r>
        <w:rPr>
          <w:spacing w:val="-1"/>
          <w:u w:val="single"/>
        </w:rPr>
        <w:t xml:space="preserve"> </w:t>
      </w:r>
      <w:r>
        <w:rPr>
          <w:spacing w:val="-2"/>
          <w:u w:val="single"/>
        </w:rPr>
        <w:t>Disabilities</w:t>
      </w:r>
    </w:p>
    <w:p w14:paraId="571E51CC" w14:textId="77777777" w:rsidR="00B840A0" w:rsidRDefault="00B840A0">
      <w:pPr>
        <w:pStyle w:val="BodyText"/>
        <w:spacing w:before="11"/>
        <w:rPr>
          <w:sz w:val="23"/>
        </w:rPr>
      </w:pPr>
    </w:p>
    <w:p w14:paraId="4134D20E" w14:textId="77777777" w:rsidR="00B840A0" w:rsidRDefault="00000000">
      <w:pPr>
        <w:pStyle w:val="BodyText"/>
        <w:ind w:left="120" w:right="146"/>
      </w:pPr>
      <w:r>
        <w:t>The</w:t>
      </w:r>
      <w:r>
        <w:rPr>
          <w:spacing w:val="-3"/>
        </w:rPr>
        <w:t xml:space="preserve"> </w:t>
      </w:r>
      <w:r>
        <w:t>proposed</w:t>
      </w:r>
      <w:r>
        <w:rPr>
          <w:spacing w:val="-4"/>
        </w:rPr>
        <w:t xml:space="preserve"> </w:t>
      </w:r>
      <w:r>
        <w:t>rule</w:t>
      </w:r>
      <w:r>
        <w:rPr>
          <w:spacing w:val="-3"/>
        </w:rPr>
        <w:t xml:space="preserve"> </w:t>
      </w:r>
      <w:r>
        <w:t>seeks</w:t>
      </w:r>
      <w:r>
        <w:rPr>
          <w:spacing w:val="-4"/>
        </w:rPr>
        <w:t xml:space="preserve"> </w:t>
      </w:r>
      <w:r>
        <w:t>feedback</w:t>
      </w:r>
      <w:r>
        <w:rPr>
          <w:spacing w:val="-4"/>
        </w:rPr>
        <w:t xml:space="preserve"> </w:t>
      </w:r>
      <w:r>
        <w:t>on</w:t>
      </w:r>
      <w:r>
        <w:rPr>
          <w:spacing w:val="-3"/>
        </w:rPr>
        <w:t xml:space="preserve"> </w:t>
      </w:r>
      <w:r>
        <w:t>a</w:t>
      </w:r>
      <w:r>
        <w:rPr>
          <w:spacing w:val="-2"/>
        </w:rPr>
        <w:t xml:space="preserve"> </w:t>
      </w:r>
      <w:r>
        <w:t>potential</w:t>
      </w:r>
      <w:r>
        <w:rPr>
          <w:spacing w:val="-4"/>
        </w:rPr>
        <w:t xml:space="preserve"> </w:t>
      </w:r>
      <w:r>
        <w:t>expansion</w:t>
      </w:r>
      <w:r>
        <w:rPr>
          <w:spacing w:val="-3"/>
        </w:rPr>
        <w:t xml:space="preserve"> </w:t>
      </w:r>
      <w:r>
        <w:t>of</w:t>
      </w:r>
      <w:r>
        <w:rPr>
          <w:spacing w:val="-4"/>
        </w:rPr>
        <w:t xml:space="preserve"> </w:t>
      </w:r>
      <w:r>
        <w:t>requirements</w:t>
      </w:r>
      <w:r>
        <w:rPr>
          <w:spacing w:val="-4"/>
        </w:rPr>
        <w:t xml:space="preserve"> </w:t>
      </w:r>
      <w:r>
        <w:t>to</w:t>
      </w:r>
      <w:r>
        <w:rPr>
          <w:spacing w:val="-3"/>
        </w:rPr>
        <w:t xml:space="preserve"> </w:t>
      </w:r>
      <w:r>
        <w:t>provide</w:t>
      </w:r>
      <w:r>
        <w:rPr>
          <w:spacing w:val="-3"/>
        </w:rPr>
        <w:t xml:space="preserve"> </w:t>
      </w:r>
      <w:r>
        <w:t>accessible ICT for people with disabilities. Section 1557 currently requires covered entities to provide accessible ICT in connection with their health programs and activities, but there are no specific standards incorporated in the regulation to determine whether entities are in compliance with these requirements. The current regulations also note that recipients of federal funding and State Exchanges that provide their services through websites must comply with Title II of the</w:t>
      </w:r>
    </w:p>
    <w:p w14:paraId="226B3FD9" w14:textId="77777777" w:rsidR="00B840A0" w:rsidRDefault="00B840A0">
      <w:pPr>
        <w:sectPr w:rsidR="00B840A0">
          <w:footerReference w:type="default" r:id="rId9"/>
          <w:type w:val="continuous"/>
          <w:pgSz w:w="12240" w:h="15840"/>
          <w:pgMar w:top="720" w:right="620" w:bottom="1440" w:left="600" w:header="0" w:footer="1259" w:gutter="0"/>
          <w:pgNumType w:start="1"/>
          <w:cols w:space="720"/>
        </w:sectPr>
      </w:pPr>
    </w:p>
    <w:p w14:paraId="077D3CBB" w14:textId="77777777" w:rsidR="00B840A0" w:rsidRDefault="00000000">
      <w:pPr>
        <w:pStyle w:val="BodyText"/>
        <w:spacing w:before="73"/>
        <w:ind w:left="120"/>
      </w:pPr>
      <w:r>
        <w:lastRenderedPageBreak/>
        <w:t>Americans</w:t>
      </w:r>
      <w:r>
        <w:rPr>
          <w:spacing w:val="-4"/>
        </w:rPr>
        <w:t xml:space="preserve"> </w:t>
      </w:r>
      <w:r>
        <w:t>with</w:t>
      </w:r>
      <w:r>
        <w:rPr>
          <w:spacing w:val="-3"/>
        </w:rPr>
        <w:t xml:space="preserve"> </w:t>
      </w:r>
      <w:r>
        <w:t>Disabilities</w:t>
      </w:r>
      <w:r>
        <w:rPr>
          <w:spacing w:val="-4"/>
        </w:rPr>
        <w:t xml:space="preserve"> </w:t>
      </w:r>
      <w:r>
        <w:t>Act.</w:t>
      </w:r>
      <w:r>
        <w:rPr>
          <w:spacing w:val="-5"/>
        </w:rPr>
        <w:t xml:space="preserve"> </w:t>
      </w:r>
      <w:r>
        <w:t>Now,</w:t>
      </w:r>
      <w:r>
        <w:rPr>
          <w:spacing w:val="-5"/>
        </w:rPr>
        <w:t xml:space="preserve"> </w:t>
      </w:r>
      <w:r>
        <w:t>the</w:t>
      </w:r>
      <w:r>
        <w:rPr>
          <w:spacing w:val="-5"/>
        </w:rPr>
        <w:t xml:space="preserve"> </w:t>
      </w:r>
      <w:r>
        <w:t>proposed</w:t>
      </w:r>
      <w:r>
        <w:rPr>
          <w:spacing w:val="-4"/>
        </w:rPr>
        <w:t xml:space="preserve"> </w:t>
      </w:r>
      <w:r>
        <w:t>rule</w:t>
      </w:r>
      <w:r>
        <w:rPr>
          <w:spacing w:val="-3"/>
        </w:rPr>
        <w:t xml:space="preserve"> </w:t>
      </w:r>
      <w:r>
        <w:t>seeks</w:t>
      </w:r>
      <w:r>
        <w:rPr>
          <w:spacing w:val="-1"/>
        </w:rPr>
        <w:t xml:space="preserve"> </w:t>
      </w:r>
      <w:r>
        <w:t>comments</w:t>
      </w:r>
      <w:r>
        <w:rPr>
          <w:spacing w:val="-4"/>
        </w:rPr>
        <w:t xml:space="preserve"> </w:t>
      </w:r>
      <w:r>
        <w:t>on</w:t>
      </w:r>
      <w:r>
        <w:rPr>
          <w:spacing w:val="-3"/>
        </w:rPr>
        <w:t xml:space="preserve"> </w:t>
      </w:r>
      <w:r>
        <w:t>whether</w:t>
      </w:r>
      <w:r>
        <w:rPr>
          <w:spacing w:val="-4"/>
        </w:rPr>
        <w:t xml:space="preserve"> </w:t>
      </w:r>
      <w:r>
        <w:t>the</w:t>
      </w:r>
      <w:r>
        <w:rPr>
          <w:spacing w:val="-3"/>
        </w:rPr>
        <w:t xml:space="preserve"> </w:t>
      </w:r>
      <w:r>
        <w:t>Section 1557 rule should require covered entities to comply with specific accessibility standards.</w:t>
      </w:r>
    </w:p>
    <w:p w14:paraId="6A8F7DB0" w14:textId="77777777" w:rsidR="00B840A0" w:rsidRDefault="00B840A0">
      <w:pPr>
        <w:pStyle w:val="BodyText"/>
        <w:spacing w:before="1"/>
      </w:pPr>
    </w:p>
    <w:p w14:paraId="1DD5CC24" w14:textId="77777777" w:rsidR="00B840A0" w:rsidRDefault="00000000">
      <w:pPr>
        <w:pStyle w:val="BodyText"/>
        <w:ind w:left="120" w:right="181"/>
      </w:pPr>
      <w:r>
        <w:t>Access Ready and other stakeholders have consistently urged the Administration to ensure that entities covered by a range of accessibility mandates procure, design, maintain, and use websites, mobile applications, online systems, and other forms of ICT that are accessible to and usable by the widest range of people with disabilities possible. Such mandates apply to covered entities under Section 1557, but also entities receiving federal funding under Section 504 of the Rehabilitation</w:t>
      </w:r>
      <w:r>
        <w:rPr>
          <w:spacing w:val="-3"/>
        </w:rPr>
        <w:t xml:space="preserve"> </w:t>
      </w:r>
      <w:r>
        <w:t>Act,</w:t>
      </w:r>
      <w:r>
        <w:rPr>
          <w:spacing w:val="-2"/>
        </w:rPr>
        <w:t xml:space="preserve"> </w:t>
      </w:r>
      <w:r>
        <w:t>state</w:t>
      </w:r>
      <w:r>
        <w:rPr>
          <w:spacing w:val="-3"/>
        </w:rPr>
        <w:t xml:space="preserve"> </w:t>
      </w:r>
      <w:r>
        <w:t>and</w:t>
      </w:r>
      <w:r>
        <w:rPr>
          <w:spacing w:val="-4"/>
        </w:rPr>
        <w:t xml:space="preserve"> </w:t>
      </w:r>
      <w:r>
        <w:t>local</w:t>
      </w:r>
      <w:r>
        <w:rPr>
          <w:spacing w:val="-2"/>
        </w:rPr>
        <w:t xml:space="preserve"> </w:t>
      </w:r>
      <w:r>
        <w:t>governments</w:t>
      </w:r>
      <w:r>
        <w:rPr>
          <w:spacing w:val="-4"/>
        </w:rPr>
        <w:t xml:space="preserve"> </w:t>
      </w:r>
      <w:r>
        <w:t>under</w:t>
      </w:r>
      <w:r>
        <w:rPr>
          <w:spacing w:val="-4"/>
        </w:rPr>
        <w:t xml:space="preserve"> </w:t>
      </w:r>
      <w:r>
        <w:t>Title</w:t>
      </w:r>
      <w:r>
        <w:rPr>
          <w:spacing w:val="-3"/>
        </w:rPr>
        <w:t xml:space="preserve"> </w:t>
      </w:r>
      <w:r>
        <w:t>II</w:t>
      </w:r>
      <w:r>
        <w:rPr>
          <w:spacing w:val="-2"/>
        </w:rPr>
        <w:t xml:space="preserve"> </w:t>
      </w:r>
      <w:r>
        <w:t>of</w:t>
      </w:r>
      <w:r>
        <w:rPr>
          <w:spacing w:val="-6"/>
        </w:rPr>
        <w:t xml:space="preserve"> </w:t>
      </w:r>
      <w:r>
        <w:t>the</w:t>
      </w:r>
      <w:r>
        <w:rPr>
          <w:spacing w:val="-3"/>
        </w:rPr>
        <w:t xml:space="preserve"> </w:t>
      </w:r>
      <w:r>
        <w:t>Americans</w:t>
      </w:r>
      <w:r>
        <w:rPr>
          <w:spacing w:val="-4"/>
        </w:rPr>
        <w:t xml:space="preserve"> </w:t>
      </w:r>
      <w:r>
        <w:t>with</w:t>
      </w:r>
      <w:r>
        <w:rPr>
          <w:spacing w:val="-3"/>
        </w:rPr>
        <w:t xml:space="preserve"> </w:t>
      </w:r>
      <w:r>
        <w:t>Disabilities Act (ADA), and public accommodations under Title III of the ADA. However, these regulations largely do not incorporate specific, clear, and enforceable accessibility standards, save for the requirements of Section 508 of the Rehabilitation Act, applicable to federal agencies.</w:t>
      </w:r>
    </w:p>
    <w:p w14:paraId="2E053694" w14:textId="77777777" w:rsidR="00B840A0" w:rsidRDefault="00B840A0">
      <w:pPr>
        <w:pStyle w:val="BodyText"/>
      </w:pPr>
    </w:p>
    <w:p w14:paraId="190B99C5" w14:textId="77777777" w:rsidR="00B840A0" w:rsidRDefault="00000000">
      <w:pPr>
        <w:pStyle w:val="BodyText"/>
        <w:ind w:left="120" w:right="146"/>
      </w:pPr>
      <w:r>
        <w:t>The lack of clear, enforceable standards has unfortunately resulted in a widespread lack of accessible ICT, despite requirements to provide such technology.</w:t>
      </w:r>
      <w:r>
        <w:rPr>
          <w:spacing w:val="-1"/>
        </w:rPr>
        <w:t xml:space="preserve"> </w:t>
      </w:r>
      <w:r>
        <w:t>Particularly in</w:t>
      </w:r>
      <w:r>
        <w:rPr>
          <w:spacing w:val="-2"/>
        </w:rPr>
        <w:t xml:space="preserve"> </w:t>
      </w:r>
      <w:r>
        <w:t>the health care sector, there is an increasing reliance on ICT to provide services, including the dramatic expansion</w:t>
      </w:r>
      <w:r>
        <w:rPr>
          <w:spacing w:val="-2"/>
        </w:rPr>
        <w:t xml:space="preserve"> </w:t>
      </w:r>
      <w:r>
        <w:t>of</w:t>
      </w:r>
      <w:r>
        <w:rPr>
          <w:spacing w:val="-3"/>
        </w:rPr>
        <w:t xml:space="preserve"> </w:t>
      </w:r>
      <w:r>
        <w:t>telehealth</w:t>
      </w:r>
      <w:r>
        <w:rPr>
          <w:spacing w:val="-2"/>
        </w:rPr>
        <w:t xml:space="preserve"> </w:t>
      </w:r>
      <w:r>
        <w:t>and</w:t>
      </w:r>
      <w:r>
        <w:rPr>
          <w:spacing w:val="-3"/>
        </w:rPr>
        <w:t xml:space="preserve"> </w:t>
      </w:r>
      <w:r>
        <w:t>other</w:t>
      </w:r>
      <w:r>
        <w:rPr>
          <w:spacing w:val="-3"/>
        </w:rPr>
        <w:t xml:space="preserve"> </w:t>
      </w:r>
      <w:r>
        <w:t>virtual</w:t>
      </w:r>
      <w:r>
        <w:rPr>
          <w:spacing w:val="-3"/>
        </w:rPr>
        <w:t xml:space="preserve"> </w:t>
      </w:r>
      <w:r>
        <w:t>treatment</w:t>
      </w:r>
      <w:r>
        <w:rPr>
          <w:spacing w:val="-2"/>
        </w:rPr>
        <w:t xml:space="preserve"> </w:t>
      </w:r>
      <w:r>
        <w:t>options;</w:t>
      </w:r>
      <w:r>
        <w:rPr>
          <w:spacing w:val="-1"/>
        </w:rPr>
        <w:t xml:space="preserve"> </w:t>
      </w:r>
      <w:r>
        <w:t>the</w:t>
      </w:r>
      <w:r>
        <w:rPr>
          <w:spacing w:val="-4"/>
        </w:rPr>
        <w:t xml:space="preserve"> </w:t>
      </w:r>
      <w:r>
        <w:t>use</w:t>
      </w:r>
      <w:r>
        <w:rPr>
          <w:spacing w:val="-2"/>
        </w:rPr>
        <w:t xml:space="preserve"> </w:t>
      </w:r>
      <w:r>
        <w:t>of</w:t>
      </w:r>
      <w:r>
        <w:rPr>
          <w:spacing w:val="-3"/>
        </w:rPr>
        <w:t xml:space="preserve"> </w:t>
      </w:r>
      <w:r>
        <w:t>online</w:t>
      </w:r>
      <w:r>
        <w:rPr>
          <w:spacing w:val="-2"/>
        </w:rPr>
        <w:t xml:space="preserve"> </w:t>
      </w:r>
      <w:r>
        <w:t>patient</w:t>
      </w:r>
      <w:r>
        <w:rPr>
          <w:spacing w:val="-7"/>
        </w:rPr>
        <w:t xml:space="preserve"> </w:t>
      </w:r>
      <w:r>
        <w:t>portals</w:t>
      </w:r>
      <w:r>
        <w:rPr>
          <w:spacing w:val="-3"/>
        </w:rPr>
        <w:t xml:space="preserve"> </w:t>
      </w:r>
      <w:r>
        <w:t>for accessing health records, scheduling appointments, and communicating with providers; the proliferation of electronic check-in and billing kiosks in providers’ offices; and the reliance electronic</w:t>
      </w:r>
      <w:r>
        <w:rPr>
          <w:spacing w:val="-2"/>
        </w:rPr>
        <w:t xml:space="preserve"> </w:t>
      </w:r>
      <w:r>
        <w:t>forms</w:t>
      </w:r>
      <w:r>
        <w:rPr>
          <w:spacing w:val="-2"/>
        </w:rPr>
        <w:t xml:space="preserve"> </w:t>
      </w:r>
      <w:r>
        <w:t>for collecting</w:t>
      </w:r>
      <w:r>
        <w:rPr>
          <w:spacing w:val="-3"/>
        </w:rPr>
        <w:t xml:space="preserve"> </w:t>
      </w:r>
      <w:r>
        <w:t>patient</w:t>
      </w:r>
      <w:r>
        <w:rPr>
          <w:spacing w:val="-3"/>
        </w:rPr>
        <w:t xml:space="preserve"> </w:t>
      </w:r>
      <w:r>
        <w:t>information;</w:t>
      </w:r>
      <w:r>
        <w:rPr>
          <w:spacing w:val="-3"/>
        </w:rPr>
        <w:t xml:space="preserve"> </w:t>
      </w:r>
      <w:r>
        <w:t>among many</w:t>
      </w:r>
      <w:r>
        <w:rPr>
          <w:spacing w:val="-3"/>
        </w:rPr>
        <w:t xml:space="preserve"> </w:t>
      </w:r>
      <w:r>
        <w:t>others. When</w:t>
      </w:r>
      <w:r>
        <w:rPr>
          <w:spacing w:val="-1"/>
        </w:rPr>
        <w:t xml:space="preserve"> </w:t>
      </w:r>
      <w:r>
        <w:t>this</w:t>
      </w:r>
      <w:r>
        <w:rPr>
          <w:spacing w:val="-2"/>
        </w:rPr>
        <w:t xml:space="preserve"> </w:t>
      </w:r>
      <w:r>
        <w:t>technology</w:t>
      </w:r>
      <w:r>
        <w:rPr>
          <w:spacing w:val="-3"/>
        </w:rPr>
        <w:t xml:space="preserve"> </w:t>
      </w:r>
      <w:r>
        <w:t>is not provided in an accessible format, individuals with disabilities are unable to receive equal access to their health care benefits, with a discriminatory effect that only exacerbates the pre- existing health care disparities faced by many people with disabilities.</w:t>
      </w:r>
    </w:p>
    <w:p w14:paraId="6D16D169" w14:textId="77777777" w:rsidR="00B840A0" w:rsidRDefault="00B840A0">
      <w:pPr>
        <w:pStyle w:val="BodyText"/>
        <w:spacing w:before="11"/>
        <w:rPr>
          <w:sz w:val="23"/>
        </w:rPr>
      </w:pPr>
    </w:p>
    <w:p w14:paraId="1F6CA7DA" w14:textId="77777777" w:rsidR="00B840A0" w:rsidRDefault="00000000">
      <w:pPr>
        <w:pStyle w:val="BodyText"/>
        <w:ind w:left="120" w:right="146"/>
      </w:pPr>
      <w:r>
        <w:t>OCR notes</w:t>
      </w:r>
      <w:r>
        <w:rPr>
          <w:spacing w:val="-1"/>
        </w:rPr>
        <w:t xml:space="preserve"> </w:t>
      </w:r>
      <w:r>
        <w:t>in the proposed</w:t>
      </w:r>
      <w:r>
        <w:rPr>
          <w:spacing w:val="-1"/>
        </w:rPr>
        <w:t xml:space="preserve"> </w:t>
      </w:r>
      <w:r>
        <w:t>rule that “many covered</w:t>
      </w:r>
      <w:r>
        <w:rPr>
          <w:spacing w:val="-1"/>
        </w:rPr>
        <w:t xml:space="preserve"> </w:t>
      </w:r>
      <w:r>
        <w:t>entities</w:t>
      </w:r>
      <w:r>
        <w:rPr>
          <w:spacing w:val="-1"/>
        </w:rPr>
        <w:t xml:space="preserve"> </w:t>
      </w:r>
      <w:r>
        <w:t>are</w:t>
      </w:r>
      <w:r>
        <w:rPr>
          <w:spacing w:val="-2"/>
        </w:rPr>
        <w:t xml:space="preserve"> </w:t>
      </w:r>
      <w:r>
        <w:t>currently relying on Section 508 standards</w:t>
      </w:r>
      <w:r>
        <w:rPr>
          <w:spacing w:val="-3"/>
        </w:rPr>
        <w:t xml:space="preserve"> </w:t>
      </w:r>
      <w:r>
        <w:t>promulgated</w:t>
      </w:r>
      <w:r>
        <w:rPr>
          <w:spacing w:val="-3"/>
        </w:rPr>
        <w:t xml:space="preserve"> </w:t>
      </w:r>
      <w:r>
        <w:t>by</w:t>
      </w:r>
      <w:r>
        <w:rPr>
          <w:spacing w:val="-1"/>
        </w:rPr>
        <w:t xml:space="preserve"> </w:t>
      </w:r>
      <w:r>
        <w:t>the</w:t>
      </w:r>
      <w:r>
        <w:rPr>
          <w:spacing w:val="-2"/>
        </w:rPr>
        <w:t xml:space="preserve"> </w:t>
      </w:r>
      <w:r>
        <w:t>Access</w:t>
      </w:r>
      <w:r>
        <w:rPr>
          <w:spacing w:val="-3"/>
        </w:rPr>
        <w:t xml:space="preserve"> </w:t>
      </w:r>
      <w:r>
        <w:t>Board</w:t>
      </w:r>
      <w:r>
        <w:rPr>
          <w:spacing w:val="-1"/>
        </w:rPr>
        <w:t xml:space="preserve"> </w:t>
      </w:r>
      <w:r>
        <w:t>or</w:t>
      </w:r>
      <w:r>
        <w:rPr>
          <w:spacing w:val="-3"/>
        </w:rPr>
        <w:t xml:space="preserve"> </w:t>
      </w:r>
      <w:r>
        <w:t>Web</w:t>
      </w:r>
      <w:r>
        <w:rPr>
          <w:spacing w:val="-1"/>
        </w:rPr>
        <w:t xml:space="preserve"> </w:t>
      </w:r>
      <w:r>
        <w:t>Content</w:t>
      </w:r>
      <w:r>
        <w:rPr>
          <w:spacing w:val="-2"/>
        </w:rPr>
        <w:t xml:space="preserve"> </w:t>
      </w:r>
      <w:r>
        <w:t>Accessibility</w:t>
      </w:r>
      <w:r>
        <w:rPr>
          <w:spacing w:val="-4"/>
        </w:rPr>
        <w:t xml:space="preserve"> </w:t>
      </w:r>
      <w:r>
        <w:t>Guidelines</w:t>
      </w:r>
      <w:r>
        <w:rPr>
          <w:spacing w:val="-3"/>
        </w:rPr>
        <w:t xml:space="preserve"> </w:t>
      </w:r>
      <w:r>
        <w:t>(WCAG)</w:t>
      </w:r>
      <w:r>
        <w:rPr>
          <w:spacing w:val="-3"/>
        </w:rPr>
        <w:t xml:space="preserve"> </w:t>
      </w:r>
      <w:r>
        <w:t>to ensure that their ICT is accessible,” but in practice, patients with disabilities find that this is often</w:t>
      </w:r>
      <w:r>
        <w:rPr>
          <w:spacing w:val="-3"/>
        </w:rPr>
        <w:t xml:space="preserve"> </w:t>
      </w:r>
      <w:r>
        <w:t>not</w:t>
      </w:r>
      <w:r>
        <w:rPr>
          <w:spacing w:val="-3"/>
        </w:rPr>
        <w:t xml:space="preserve"> </w:t>
      </w:r>
      <w:r>
        <w:t>the</w:t>
      </w:r>
      <w:r>
        <w:rPr>
          <w:spacing w:val="-3"/>
        </w:rPr>
        <w:t xml:space="preserve"> </w:t>
      </w:r>
      <w:r>
        <w:t>case.</w:t>
      </w:r>
      <w:r>
        <w:rPr>
          <w:spacing w:val="-2"/>
        </w:rPr>
        <w:t xml:space="preserve"> </w:t>
      </w:r>
      <w:r>
        <w:t>Ensuring</w:t>
      </w:r>
      <w:r>
        <w:rPr>
          <w:spacing w:val="-2"/>
        </w:rPr>
        <w:t xml:space="preserve"> </w:t>
      </w:r>
      <w:r>
        <w:t>that</w:t>
      </w:r>
      <w:r>
        <w:rPr>
          <w:spacing w:val="-3"/>
        </w:rPr>
        <w:t xml:space="preserve"> </w:t>
      </w:r>
      <w:r>
        <w:t>covered</w:t>
      </w:r>
      <w:r>
        <w:rPr>
          <w:spacing w:val="-4"/>
        </w:rPr>
        <w:t xml:space="preserve"> </w:t>
      </w:r>
      <w:r>
        <w:t>entities</w:t>
      </w:r>
      <w:r>
        <w:rPr>
          <w:spacing w:val="-4"/>
        </w:rPr>
        <w:t xml:space="preserve"> </w:t>
      </w:r>
      <w:r>
        <w:rPr>
          <w:u w:val="single"/>
        </w:rPr>
        <w:t>must</w:t>
      </w:r>
      <w:r>
        <w:rPr>
          <w:spacing w:val="-2"/>
        </w:rPr>
        <w:t xml:space="preserve"> </w:t>
      </w:r>
      <w:r>
        <w:t>comply</w:t>
      </w:r>
      <w:r>
        <w:rPr>
          <w:spacing w:val="-2"/>
        </w:rPr>
        <w:t xml:space="preserve"> </w:t>
      </w:r>
      <w:r>
        <w:t>with</w:t>
      </w:r>
      <w:r>
        <w:rPr>
          <w:spacing w:val="-3"/>
        </w:rPr>
        <w:t xml:space="preserve"> </w:t>
      </w:r>
      <w:r>
        <w:t>such</w:t>
      </w:r>
      <w:r>
        <w:rPr>
          <w:spacing w:val="-3"/>
        </w:rPr>
        <w:t xml:space="preserve"> </w:t>
      </w:r>
      <w:r>
        <w:t>standards,</w:t>
      </w:r>
      <w:r>
        <w:rPr>
          <w:spacing w:val="-2"/>
        </w:rPr>
        <w:t xml:space="preserve"> </w:t>
      </w:r>
      <w:r>
        <w:t>rather</w:t>
      </w:r>
      <w:r>
        <w:rPr>
          <w:spacing w:val="-4"/>
        </w:rPr>
        <w:t xml:space="preserve"> </w:t>
      </w:r>
      <w:r>
        <w:t>than making compliance voluntary (and thus leading to additional confusion about whether ICT is actually</w:t>
      </w:r>
      <w:r>
        <w:rPr>
          <w:spacing w:val="-2"/>
        </w:rPr>
        <w:t xml:space="preserve"> </w:t>
      </w:r>
      <w:r>
        <w:t>accessible</w:t>
      </w:r>
      <w:r>
        <w:rPr>
          <w:spacing w:val="-3"/>
        </w:rPr>
        <w:t xml:space="preserve"> </w:t>
      </w:r>
      <w:r>
        <w:t>or</w:t>
      </w:r>
      <w:r>
        <w:rPr>
          <w:spacing w:val="-5"/>
        </w:rPr>
        <w:t xml:space="preserve"> </w:t>
      </w:r>
      <w:r>
        <w:t>how</w:t>
      </w:r>
      <w:r>
        <w:rPr>
          <w:spacing w:val="-2"/>
        </w:rPr>
        <w:t xml:space="preserve"> </w:t>
      </w:r>
      <w:r>
        <w:t>to</w:t>
      </w:r>
      <w:r>
        <w:rPr>
          <w:spacing w:val="-3"/>
        </w:rPr>
        <w:t xml:space="preserve"> </w:t>
      </w:r>
      <w:r>
        <w:t>make</w:t>
      </w:r>
      <w:r>
        <w:rPr>
          <w:spacing w:val="-3"/>
        </w:rPr>
        <w:t xml:space="preserve"> </w:t>
      </w:r>
      <w:r>
        <w:t>ICT</w:t>
      </w:r>
      <w:r>
        <w:rPr>
          <w:spacing w:val="-4"/>
        </w:rPr>
        <w:t xml:space="preserve"> </w:t>
      </w:r>
      <w:r>
        <w:t>accessible)</w:t>
      </w:r>
      <w:r>
        <w:rPr>
          <w:spacing w:val="-4"/>
        </w:rPr>
        <w:t xml:space="preserve"> </w:t>
      </w:r>
      <w:r>
        <w:t>is</w:t>
      </w:r>
      <w:r>
        <w:rPr>
          <w:spacing w:val="-5"/>
        </w:rPr>
        <w:t xml:space="preserve"> </w:t>
      </w:r>
      <w:r>
        <w:t>a</w:t>
      </w:r>
      <w:r>
        <w:rPr>
          <w:spacing w:val="-2"/>
        </w:rPr>
        <w:t xml:space="preserve"> </w:t>
      </w:r>
      <w:r>
        <w:t>critical</w:t>
      </w:r>
      <w:r>
        <w:rPr>
          <w:spacing w:val="-2"/>
        </w:rPr>
        <w:t xml:space="preserve"> </w:t>
      </w:r>
      <w:r>
        <w:t>step</w:t>
      </w:r>
      <w:r>
        <w:rPr>
          <w:spacing w:val="-4"/>
        </w:rPr>
        <w:t xml:space="preserve"> </w:t>
      </w:r>
      <w:r>
        <w:t>towards</w:t>
      </w:r>
      <w:r>
        <w:rPr>
          <w:spacing w:val="-4"/>
        </w:rPr>
        <w:t xml:space="preserve"> </w:t>
      </w:r>
      <w:r>
        <w:t>ensuring</w:t>
      </w:r>
      <w:r>
        <w:rPr>
          <w:spacing w:val="-2"/>
        </w:rPr>
        <w:t xml:space="preserve"> </w:t>
      </w:r>
      <w:r>
        <w:t>that</w:t>
      </w:r>
      <w:r>
        <w:rPr>
          <w:spacing w:val="-3"/>
        </w:rPr>
        <w:t xml:space="preserve"> </w:t>
      </w:r>
      <w:r>
        <w:t>people with disabilities are able to access the health care services to which they are entitled.</w:t>
      </w:r>
    </w:p>
    <w:p w14:paraId="26700FAB" w14:textId="77777777" w:rsidR="00B840A0" w:rsidRDefault="00B840A0">
      <w:pPr>
        <w:pStyle w:val="BodyText"/>
        <w:spacing w:before="1"/>
      </w:pPr>
    </w:p>
    <w:p w14:paraId="3415D2D0" w14:textId="77777777" w:rsidR="00B840A0" w:rsidRDefault="00000000">
      <w:pPr>
        <w:pStyle w:val="BodyText"/>
        <w:ind w:left="120" w:right="111"/>
      </w:pPr>
      <w:r>
        <w:t>We urge OCR to include specific, clear, and enforceable ICT accessibility and usability standards in the Section 1557 regulations that align with widely accepted standards that already exist, including the U.S. Access Board’s Section 508 standards and the international WCAG 2.1 Levels A and AA. We also urge OCR to incorporate language clarifying that compliance should relate to the currently accepted version of WCAG as well as successor standards as they are finalized and published. Further, we encourage OCR to ensure that the regulations continue to make clear</w:t>
      </w:r>
      <w:r>
        <w:rPr>
          <w:spacing w:val="40"/>
        </w:rPr>
        <w:t xml:space="preserve"> </w:t>
      </w:r>
      <w:r>
        <w:t>that ICT encompasses not only websites, but mobile applications, online systems, and other forms of ICT – all of which should be made accessible to individuals with disabilities. Lastly, requirements</w:t>
      </w:r>
      <w:r>
        <w:rPr>
          <w:spacing w:val="-4"/>
        </w:rPr>
        <w:t xml:space="preserve"> </w:t>
      </w:r>
      <w:r>
        <w:t>without</w:t>
      </w:r>
      <w:r>
        <w:rPr>
          <w:spacing w:val="-5"/>
        </w:rPr>
        <w:t xml:space="preserve"> </w:t>
      </w:r>
      <w:r>
        <w:t>enforcement</w:t>
      </w:r>
      <w:r>
        <w:rPr>
          <w:spacing w:val="-3"/>
        </w:rPr>
        <w:t xml:space="preserve"> </w:t>
      </w:r>
      <w:r>
        <w:t>are</w:t>
      </w:r>
      <w:r>
        <w:rPr>
          <w:spacing w:val="-3"/>
        </w:rPr>
        <w:t xml:space="preserve"> </w:t>
      </w:r>
      <w:r>
        <w:t>often</w:t>
      </w:r>
      <w:r>
        <w:rPr>
          <w:spacing w:val="-3"/>
        </w:rPr>
        <w:t xml:space="preserve"> </w:t>
      </w:r>
      <w:r>
        <w:t>ignored</w:t>
      </w:r>
      <w:r>
        <w:rPr>
          <w:spacing w:val="-4"/>
        </w:rPr>
        <w:t xml:space="preserve"> </w:t>
      </w:r>
      <w:r>
        <w:t>–</w:t>
      </w:r>
      <w:r>
        <w:rPr>
          <w:spacing w:val="-2"/>
        </w:rPr>
        <w:t xml:space="preserve"> </w:t>
      </w:r>
      <w:r>
        <w:t>OCR</w:t>
      </w:r>
      <w:r>
        <w:rPr>
          <w:spacing w:val="-3"/>
        </w:rPr>
        <w:t xml:space="preserve"> </w:t>
      </w:r>
      <w:r>
        <w:t>should</w:t>
      </w:r>
      <w:r>
        <w:rPr>
          <w:spacing w:val="-4"/>
        </w:rPr>
        <w:t xml:space="preserve"> </w:t>
      </w:r>
      <w:r>
        <w:t>establish</w:t>
      </w:r>
      <w:r>
        <w:rPr>
          <w:spacing w:val="-3"/>
        </w:rPr>
        <w:t xml:space="preserve"> </w:t>
      </w:r>
      <w:r>
        <w:t>and</w:t>
      </w:r>
      <w:r>
        <w:rPr>
          <w:spacing w:val="-4"/>
        </w:rPr>
        <w:t xml:space="preserve"> </w:t>
      </w:r>
      <w:r>
        <w:t>communicate</w:t>
      </w:r>
      <w:r>
        <w:rPr>
          <w:spacing w:val="-3"/>
        </w:rPr>
        <w:t xml:space="preserve"> </w:t>
      </w:r>
      <w:r>
        <w:t>to covered entities clear consequences for failures to comply with and implement these requirements across their health programs and activities.</w:t>
      </w:r>
    </w:p>
    <w:p w14:paraId="4445382C" w14:textId="77777777" w:rsidR="00B840A0" w:rsidRDefault="00B840A0">
      <w:pPr>
        <w:pStyle w:val="BodyText"/>
        <w:spacing w:before="1"/>
      </w:pPr>
    </w:p>
    <w:p w14:paraId="2E88DC2F" w14:textId="77777777" w:rsidR="00B840A0" w:rsidRDefault="00000000">
      <w:pPr>
        <w:pStyle w:val="BodyText"/>
        <w:ind w:left="120" w:right="43"/>
      </w:pPr>
      <w:r>
        <w:t>We also note that these recommendations would also apply to other sectors that are not covered by</w:t>
      </w:r>
      <w:r>
        <w:rPr>
          <w:spacing w:val="-2"/>
        </w:rPr>
        <w:t xml:space="preserve"> </w:t>
      </w:r>
      <w:r>
        <w:t>the</w:t>
      </w:r>
      <w:r>
        <w:rPr>
          <w:spacing w:val="-3"/>
        </w:rPr>
        <w:t xml:space="preserve"> </w:t>
      </w:r>
      <w:r>
        <w:t>Section</w:t>
      </w:r>
      <w:r>
        <w:rPr>
          <w:spacing w:val="-6"/>
        </w:rPr>
        <w:t xml:space="preserve"> </w:t>
      </w:r>
      <w:r>
        <w:t>1557</w:t>
      </w:r>
      <w:r>
        <w:rPr>
          <w:spacing w:val="-2"/>
        </w:rPr>
        <w:t xml:space="preserve"> </w:t>
      </w:r>
      <w:r>
        <w:t>regulations,</w:t>
      </w:r>
      <w:r>
        <w:rPr>
          <w:spacing w:val="-2"/>
        </w:rPr>
        <w:t xml:space="preserve"> </w:t>
      </w:r>
      <w:r>
        <w:t>and</w:t>
      </w:r>
      <w:r>
        <w:rPr>
          <w:spacing w:val="-4"/>
        </w:rPr>
        <w:t xml:space="preserve"> </w:t>
      </w:r>
      <w:r>
        <w:t>encourage</w:t>
      </w:r>
      <w:r>
        <w:rPr>
          <w:spacing w:val="-3"/>
        </w:rPr>
        <w:t xml:space="preserve"> </w:t>
      </w:r>
      <w:r>
        <w:t>OCR</w:t>
      </w:r>
      <w:r>
        <w:rPr>
          <w:spacing w:val="-3"/>
        </w:rPr>
        <w:t xml:space="preserve"> </w:t>
      </w:r>
      <w:r>
        <w:t>to</w:t>
      </w:r>
      <w:r>
        <w:rPr>
          <w:spacing w:val="-3"/>
        </w:rPr>
        <w:t xml:space="preserve"> </w:t>
      </w:r>
      <w:r>
        <w:t>work</w:t>
      </w:r>
      <w:r>
        <w:rPr>
          <w:spacing w:val="-4"/>
        </w:rPr>
        <w:t xml:space="preserve"> </w:t>
      </w:r>
      <w:r>
        <w:t>with</w:t>
      </w:r>
      <w:r>
        <w:rPr>
          <w:spacing w:val="-3"/>
        </w:rPr>
        <w:t xml:space="preserve"> </w:t>
      </w:r>
      <w:r>
        <w:t>other</w:t>
      </w:r>
      <w:r>
        <w:rPr>
          <w:spacing w:val="-4"/>
        </w:rPr>
        <w:t xml:space="preserve"> </w:t>
      </w:r>
      <w:r>
        <w:t>facets</w:t>
      </w:r>
      <w:r>
        <w:rPr>
          <w:spacing w:val="-4"/>
        </w:rPr>
        <w:t xml:space="preserve"> </w:t>
      </w:r>
      <w:r>
        <w:t>of</w:t>
      </w:r>
      <w:r>
        <w:rPr>
          <w:spacing w:val="-4"/>
        </w:rPr>
        <w:t xml:space="preserve"> </w:t>
      </w:r>
      <w:r>
        <w:t>the</w:t>
      </w:r>
      <w:r>
        <w:rPr>
          <w:spacing w:val="-3"/>
        </w:rPr>
        <w:t xml:space="preserve"> </w:t>
      </w:r>
      <w:r>
        <w:t>Department</w:t>
      </w:r>
    </w:p>
    <w:p w14:paraId="5373B5A3" w14:textId="77777777" w:rsidR="00B840A0" w:rsidRDefault="00B840A0">
      <w:pPr>
        <w:sectPr w:rsidR="00B840A0">
          <w:pgSz w:w="12240" w:h="15840"/>
          <w:pgMar w:top="940" w:right="620" w:bottom="1440" w:left="600" w:header="0" w:footer="1259" w:gutter="0"/>
          <w:cols w:space="720"/>
        </w:sectPr>
      </w:pPr>
    </w:p>
    <w:p w14:paraId="190C21C2" w14:textId="77777777" w:rsidR="00B840A0" w:rsidRDefault="00000000">
      <w:pPr>
        <w:pStyle w:val="BodyText"/>
        <w:spacing w:before="73"/>
        <w:ind w:left="120" w:right="146"/>
      </w:pPr>
      <w:r>
        <w:lastRenderedPageBreak/>
        <w:t>of Health and Human Services as well as other agency partners to ensure that accessibility standards are incorporated and standardized across other forthcoming rulemakings, including the</w:t>
      </w:r>
      <w:r>
        <w:rPr>
          <w:spacing w:val="-3"/>
        </w:rPr>
        <w:t xml:space="preserve"> </w:t>
      </w:r>
      <w:r>
        <w:t>update</w:t>
      </w:r>
      <w:r>
        <w:rPr>
          <w:spacing w:val="-3"/>
        </w:rPr>
        <w:t xml:space="preserve"> </w:t>
      </w:r>
      <w:r>
        <w:t>of</w:t>
      </w:r>
      <w:r>
        <w:rPr>
          <w:spacing w:val="-4"/>
        </w:rPr>
        <w:t xml:space="preserve"> </w:t>
      </w:r>
      <w:r>
        <w:t>the</w:t>
      </w:r>
      <w:r>
        <w:rPr>
          <w:spacing w:val="-3"/>
        </w:rPr>
        <w:t xml:space="preserve"> </w:t>
      </w:r>
      <w:r>
        <w:t>Section</w:t>
      </w:r>
      <w:r>
        <w:rPr>
          <w:spacing w:val="-3"/>
        </w:rPr>
        <w:t xml:space="preserve"> </w:t>
      </w:r>
      <w:r>
        <w:t>504</w:t>
      </w:r>
      <w:r>
        <w:rPr>
          <w:spacing w:val="-2"/>
        </w:rPr>
        <w:t xml:space="preserve"> </w:t>
      </w:r>
      <w:r>
        <w:t>standards</w:t>
      </w:r>
      <w:r>
        <w:rPr>
          <w:spacing w:val="-4"/>
        </w:rPr>
        <w:t xml:space="preserve"> </w:t>
      </w:r>
      <w:r>
        <w:t>and</w:t>
      </w:r>
      <w:r>
        <w:rPr>
          <w:spacing w:val="-4"/>
        </w:rPr>
        <w:t xml:space="preserve"> </w:t>
      </w:r>
      <w:r>
        <w:t>the</w:t>
      </w:r>
      <w:r>
        <w:rPr>
          <w:spacing w:val="-3"/>
        </w:rPr>
        <w:t xml:space="preserve"> </w:t>
      </w:r>
      <w:r>
        <w:t>Department</w:t>
      </w:r>
      <w:r>
        <w:rPr>
          <w:spacing w:val="-3"/>
        </w:rPr>
        <w:t xml:space="preserve"> </w:t>
      </w:r>
      <w:r>
        <w:t>of</w:t>
      </w:r>
      <w:r>
        <w:rPr>
          <w:spacing w:val="-4"/>
        </w:rPr>
        <w:t xml:space="preserve"> </w:t>
      </w:r>
      <w:r>
        <w:t>Justice’s</w:t>
      </w:r>
      <w:r>
        <w:rPr>
          <w:spacing w:val="-4"/>
        </w:rPr>
        <w:t xml:space="preserve"> </w:t>
      </w:r>
      <w:r>
        <w:t>pending</w:t>
      </w:r>
      <w:r>
        <w:rPr>
          <w:spacing w:val="-2"/>
        </w:rPr>
        <w:t xml:space="preserve"> </w:t>
      </w:r>
      <w:r>
        <w:t>proposed</w:t>
      </w:r>
      <w:r>
        <w:rPr>
          <w:spacing w:val="-4"/>
        </w:rPr>
        <w:t xml:space="preserve"> </w:t>
      </w:r>
      <w:r>
        <w:t>rule on Title II of the ADA.</w:t>
      </w:r>
    </w:p>
    <w:p w14:paraId="0177C667" w14:textId="77777777" w:rsidR="00B840A0" w:rsidRDefault="00B840A0">
      <w:pPr>
        <w:pStyle w:val="BodyText"/>
      </w:pPr>
    </w:p>
    <w:p w14:paraId="6B03165C" w14:textId="77777777" w:rsidR="00B840A0" w:rsidRDefault="00000000">
      <w:pPr>
        <w:pStyle w:val="BodyText"/>
        <w:ind w:left="120"/>
      </w:pPr>
      <w:r>
        <w:rPr>
          <w:u w:val="single"/>
        </w:rPr>
        <w:t>Accessibility</w:t>
      </w:r>
      <w:r>
        <w:rPr>
          <w:spacing w:val="-4"/>
          <w:u w:val="single"/>
        </w:rPr>
        <w:t xml:space="preserve"> </w:t>
      </w:r>
      <w:r>
        <w:rPr>
          <w:u w:val="single"/>
        </w:rPr>
        <w:t>of</w:t>
      </w:r>
      <w:r>
        <w:rPr>
          <w:spacing w:val="-3"/>
          <w:u w:val="single"/>
        </w:rPr>
        <w:t xml:space="preserve"> </w:t>
      </w:r>
      <w:r>
        <w:rPr>
          <w:u w:val="single"/>
        </w:rPr>
        <w:t>Medical</w:t>
      </w:r>
      <w:r>
        <w:rPr>
          <w:spacing w:val="-1"/>
          <w:u w:val="single"/>
        </w:rPr>
        <w:t xml:space="preserve"> </w:t>
      </w:r>
      <w:r>
        <w:rPr>
          <w:u w:val="single"/>
        </w:rPr>
        <w:t>Equipment</w:t>
      </w:r>
      <w:r>
        <w:rPr>
          <w:spacing w:val="-3"/>
          <w:u w:val="single"/>
        </w:rPr>
        <w:t xml:space="preserve"> </w:t>
      </w:r>
      <w:r>
        <w:rPr>
          <w:u w:val="single"/>
        </w:rPr>
        <w:t>for</w:t>
      </w:r>
      <w:r>
        <w:rPr>
          <w:spacing w:val="-3"/>
          <w:u w:val="single"/>
        </w:rPr>
        <w:t xml:space="preserve"> </w:t>
      </w:r>
      <w:r>
        <w:rPr>
          <w:u w:val="single"/>
        </w:rPr>
        <w:t>People</w:t>
      </w:r>
      <w:r>
        <w:rPr>
          <w:spacing w:val="-2"/>
          <w:u w:val="single"/>
        </w:rPr>
        <w:t xml:space="preserve"> </w:t>
      </w:r>
      <w:r>
        <w:rPr>
          <w:u w:val="single"/>
        </w:rPr>
        <w:t>with</w:t>
      </w:r>
      <w:r>
        <w:rPr>
          <w:spacing w:val="-2"/>
          <w:u w:val="single"/>
        </w:rPr>
        <w:t xml:space="preserve"> Disabilities</w:t>
      </w:r>
    </w:p>
    <w:p w14:paraId="707DC96C" w14:textId="77777777" w:rsidR="00B840A0" w:rsidRDefault="00B840A0">
      <w:pPr>
        <w:pStyle w:val="BodyText"/>
        <w:spacing w:before="10"/>
        <w:rPr>
          <w:sz w:val="15"/>
        </w:rPr>
      </w:pPr>
    </w:p>
    <w:p w14:paraId="24A51F4F" w14:textId="77777777" w:rsidR="00B840A0" w:rsidRDefault="00000000">
      <w:pPr>
        <w:pStyle w:val="BodyText"/>
        <w:spacing w:before="100"/>
        <w:ind w:left="120" w:right="465"/>
        <w:jc w:val="both"/>
      </w:pPr>
      <w:r>
        <w:t>The proposed</w:t>
      </w:r>
      <w:r>
        <w:rPr>
          <w:spacing w:val="-1"/>
        </w:rPr>
        <w:t xml:space="preserve"> </w:t>
      </w:r>
      <w:r>
        <w:t>rule also includes</w:t>
      </w:r>
      <w:r>
        <w:rPr>
          <w:spacing w:val="-1"/>
        </w:rPr>
        <w:t xml:space="preserve"> </w:t>
      </w:r>
      <w:r>
        <w:t>a brief</w:t>
      </w:r>
      <w:r>
        <w:rPr>
          <w:spacing w:val="-1"/>
        </w:rPr>
        <w:t xml:space="preserve"> </w:t>
      </w:r>
      <w:r>
        <w:t>request for</w:t>
      </w:r>
      <w:r>
        <w:rPr>
          <w:spacing w:val="-1"/>
        </w:rPr>
        <w:t xml:space="preserve"> </w:t>
      </w:r>
      <w:r>
        <w:t>comment regarding accessibility of</w:t>
      </w:r>
      <w:r>
        <w:rPr>
          <w:spacing w:val="-3"/>
        </w:rPr>
        <w:t xml:space="preserve"> </w:t>
      </w:r>
      <w:r>
        <w:t>medical diagnostic</w:t>
      </w:r>
      <w:r>
        <w:rPr>
          <w:spacing w:val="-5"/>
        </w:rPr>
        <w:t xml:space="preserve"> </w:t>
      </w:r>
      <w:r>
        <w:t>equipment</w:t>
      </w:r>
      <w:r>
        <w:rPr>
          <w:spacing w:val="-4"/>
        </w:rPr>
        <w:t xml:space="preserve"> </w:t>
      </w:r>
      <w:r>
        <w:t>and</w:t>
      </w:r>
      <w:r>
        <w:rPr>
          <w:spacing w:val="-5"/>
        </w:rPr>
        <w:t xml:space="preserve"> </w:t>
      </w:r>
      <w:r>
        <w:t>whether</w:t>
      </w:r>
      <w:r>
        <w:rPr>
          <w:spacing w:val="-5"/>
        </w:rPr>
        <w:t xml:space="preserve"> </w:t>
      </w:r>
      <w:r>
        <w:t>OCR</w:t>
      </w:r>
      <w:r>
        <w:rPr>
          <w:spacing w:val="-4"/>
        </w:rPr>
        <w:t xml:space="preserve"> </w:t>
      </w:r>
      <w:r>
        <w:t>should</w:t>
      </w:r>
      <w:r>
        <w:rPr>
          <w:spacing w:val="-5"/>
        </w:rPr>
        <w:t xml:space="preserve"> </w:t>
      </w:r>
      <w:r>
        <w:t>incorporate</w:t>
      </w:r>
      <w:r>
        <w:rPr>
          <w:spacing w:val="-4"/>
        </w:rPr>
        <w:t xml:space="preserve"> </w:t>
      </w:r>
      <w:r>
        <w:t>the</w:t>
      </w:r>
      <w:r>
        <w:rPr>
          <w:spacing w:val="-4"/>
        </w:rPr>
        <w:t xml:space="preserve"> </w:t>
      </w:r>
      <w:r>
        <w:t>U.S.</w:t>
      </w:r>
      <w:r>
        <w:rPr>
          <w:spacing w:val="-3"/>
        </w:rPr>
        <w:t xml:space="preserve"> </w:t>
      </w:r>
      <w:r>
        <w:t>Access</w:t>
      </w:r>
      <w:r>
        <w:rPr>
          <w:spacing w:val="-5"/>
        </w:rPr>
        <w:t xml:space="preserve"> </w:t>
      </w:r>
      <w:r>
        <w:t>Board’s</w:t>
      </w:r>
      <w:r>
        <w:rPr>
          <w:spacing w:val="-5"/>
        </w:rPr>
        <w:t xml:space="preserve"> </w:t>
      </w:r>
      <w:r>
        <w:t>standards for accessible MDE as an enforceable standard for covered entities.</w:t>
      </w:r>
    </w:p>
    <w:p w14:paraId="6DAEE2E7" w14:textId="77777777" w:rsidR="00B840A0" w:rsidRDefault="00B840A0">
      <w:pPr>
        <w:pStyle w:val="BodyText"/>
        <w:spacing w:before="10"/>
        <w:rPr>
          <w:sz w:val="23"/>
        </w:rPr>
      </w:pPr>
    </w:p>
    <w:p w14:paraId="6943A383" w14:textId="77777777" w:rsidR="00B840A0" w:rsidRDefault="00000000">
      <w:pPr>
        <w:pStyle w:val="BodyText"/>
        <w:ind w:left="120" w:right="125"/>
      </w:pPr>
      <w:r>
        <w:t>As noted in the ITEM Coalition’s letter on this proposed rule, which Access Ready signed, accessibility of medical equipment is a longstanding issue and priority for the disability community. People</w:t>
      </w:r>
      <w:r>
        <w:rPr>
          <w:spacing w:val="-1"/>
        </w:rPr>
        <w:t xml:space="preserve"> </w:t>
      </w:r>
      <w:r>
        <w:t>with disabilities consistently encounter significant barriers to accessing their health care services, not only with regards to health care ICT detailed above, but with medical equipment</w:t>
      </w:r>
      <w:r>
        <w:rPr>
          <w:spacing w:val="-3"/>
        </w:rPr>
        <w:t xml:space="preserve"> </w:t>
      </w:r>
      <w:r>
        <w:t>they</w:t>
      </w:r>
      <w:r>
        <w:rPr>
          <w:spacing w:val="-2"/>
        </w:rPr>
        <w:t xml:space="preserve"> </w:t>
      </w:r>
      <w:r>
        <w:t>or</w:t>
      </w:r>
      <w:r>
        <w:rPr>
          <w:spacing w:val="-4"/>
        </w:rPr>
        <w:t xml:space="preserve"> </w:t>
      </w:r>
      <w:r>
        <w:t>their</w:t>
      </w:r>
      <w:r>
        <w:rPr>
          <w:spacing w:val="-4"/>
        </w:rPr>
        <w:t xml:space="preserve"> </w:t>
      </w:r>
      <w:r>
        <w:t>providers</w:t>
      </w:r>
      <w:r>
        <w:rPr>
          <w:spacing w:val="-4"/>
        </w:rPr>
        <w:t xml:space="preserve"> </w:t>
      </w:r>
      <w:r>
        <w:t>expect</w:t>
      </w:r>
      <w:r>
        <w:rPr>
          <w:spacing w:val="-3"/>
        </w:rPr>
        <w:t xml:space="preserve"> </w:t>
      </w:r>
      <w:r>
        <w:t>to</w:t>
      </w:r>
      <w:r>
        <w:rPr>
          <w:spacing w:val="-3"/>
        </w:rPr>
        <w:t xml:space="preserve"> </w:t>
      </w:r>
      <w:r>
        <w:t>use</w:t>
      </w:r>
      <w:r>
        <w:rPr>
          <w:spacing w:val="-3"/>
        </w:rPr>
        <w:t xml:space="preserve"> </w:t>
      </w:r>
      <w:r>
        <w:t>during</w:t>
      </w:r>
      <w:r>
        <w:rPr>
          <w:spacing w:val="-2"/>
        </w:rPr>
        <w:t xml:space="preserve"> </w:t>
      </w:r>
      <w:r>
        <w:t>the</w:t>
      </w:r>
      <w:r>
        <w:rPr>
          <w:spacing w:val="-3"/>
        </w:rPr>
        <w:t xml:space="preserve"> </w:t>
      </w:r>
      <w:r>
        <w:t>provision</w:t>
      </w:r>
      <w:r>
        <w:rPr>
          <w:spacing w:val="-3"/>
        </w:rPr>
        <w:t xml:space="preserve"> </w:t>
      </w:r>
      <w:r>
        <w:t>of</w:t>
      </w:r>
      <w:r>
        <w:rPr>
          <w:spacing w:val="-4"/>
        </w:rPr>
        <w:t xml:space="preserve"> </w:t>
      </w:r>
      <w:r>
        <w:t>health</w:t>
      </w:r>
      <w:r>
        <w:rPr>
          <w:spacing w:val="-3"/>
        </w:rPr>
        <w:t xml:space="preserve"> </w:t>
      </w:r>
      <w:r>
        <w:t>care.</w:t>
      </w:r>
      <w:r>
        <w:rPr>
          <w:spacing w:val="-2"/>
        </w:rPr>
        <w:t xml:space="preserve"> </w:t>
      </w:r>
      <w:r>
        <w:t>Access</w:t>
      </w:r>
      <w:r>
        <w:rPr>
          <w:spacing w:val="-4"/>
        </w:rPr>
        <w:t xml:space="preserve"> </w:t>
      </w:r>
      <w:r>
        <w:t>Ready supports the enforcement of the Access Board standards as an important first step, but notes that these standards, finalized in 2017 but never incorporated by an enforcement authority, are limited in a number of aspects.</w:t>
      </w:r>
    </w:p>
    <w:p w14:paraId="62E4D27F" w14:textId="77777777" w:rsidR="00B840A0" w:rsidRDefault="00B840A0">
      <w:pPr>
        <w:pStyle w:val="BodyText"/>
      </w:pPr>
    </w:p>
    <w:p w14:paraId="7F6C4047" w14:textId="77777777" w:rsidR="00B840A0" w:rsidRDefault="00000000">
      <w:pPr>
        <w:pStyle w:val="BodyText"/>
        <w:ind w:left="119"/>
      </w:pPr>
      <w:r>
        <w:t>The</w:t>
      </w:r>
      <w:r>
        <w:rPr>
          <w:spacing w:val="-3"/>
        </w:rPr>
        <w:t xml:space="preserve"> </w:t>
      </w:r>
      <w:r>
        <w:t>Access</w:t>
      </w:r>
      <w:r>
        <w:rPr>
          <w:spacing w:val="-4"/>
        </w:rPr>
        <w:t xml:space="preserve"> </w:t>
      </w:r>
      <w:r>
        <w:t>Board</w:t>
      </w:r>
      <w:r>
        <w:rPr>
          <w:spacing w:val="-4"/>
        </w:rPr>
        <w:t xml:space="preserve"> </w:t>
      </w:r>
      <w:r>
        <w:t>standards,</w:t>
      </w:r>
      <w:r>
        <w:rPr>
          <w:spacing w:val="-2"/>
        </w:rPr>
        <w:t xml:space="preserve"> </w:t>
      </w:r>
      <w:r>
        <w:t>by</w:t>
      </w:r>
      <w:r>
        <w:rPr>
          <w:spacing w:val="-2"/>
        </w:rPr>
        <w:t xml:space="preserve"> </w:t>
      </w:r>
      <w:r>
        <w:t>design,</w:t>
      </w:r>
      <w:r>
        <w:rPr>
          <w:spacing w:val="-2"/>
        </w:rPr>
        <w:t xml:space="preserve"> </w:t>
      </w:r>
      <w:r>
        <w:t>are</w:t>
      </w:r>
      <w:r>
        <w:rPr>
          <w:spacing w:val="-3"/>
        </w:rPr>
        <w:t xml:space="preserve"> </w:t>
      </w:r>
      <w:r>
        <w:t>limited</w:t>
      </w:r>
      <w:r>
        <w:rPr>
          <w:spacing w:val="-4"/>
        </w:rPr>
        <w:t xml:space="preserve"> </w:t>
      </w:r>
      <w:r>
        <w:t>to</w:t>
      </w:r>
      <w:r>
        <w:rPr>
          <w:spacing w:val="-3"/>
        </w:rPr>
        <w:t xml:space="preserve"> </w:t>
      </w:r>
      <w:r>
        <w:t>accessibility</w:t>
      </w:r>
      <w:r>
        <w:rPr>
          <w:spacing w:val="-2"/>
        </w:rPr>
        <w:t xml:space="preserve"> </w:t>
      </w:r>
      <w:r>
        <w:t>for</w:t>
      </w:r>
      <w:r>
        <w:rPr>
          <w:spacing w:val="-4"/>
        </w:rPr>
        <w:t xml:space="preserve"> </w:t>
      </w:r>
      <w:r>
        <w:t>individuals</w:t>
      </w:r>
      <w:r>
        <w:rPr>
          <w:spacing w:val="-4"/>
        </w:rPr>
        <w:t xml:space="preserve"> </w:t>
      </w:r>
      <w:r>
        <w:t>with</w:t>
      </w:r>
      <w:r>
        <w:rPr>
          <w:spacing w:val="-8"/>
        </w:rPr>
        <w:t xml:space="preserve"> </w:t>
      </w:r>
      <w:r>
        <w:t>mobility, balance, strength, and respiratory impairments. They are primarily aimed at ensuring that equipment is accessible for individuals who use wheelchairs or have otherwise limited mobility. This is of course a major issue in physicians’ offices and other health care settings across the country, when exam tables, diagnostic machines (including x-ray, mammography, and MRI machines, among others), weight scales, and more are functionally unable to be used by people with mobility impairments, an all-too-common occurrence. However, the standards do not encompass any accessibility considerations for individuals with other disabilities, such as blindness or visual impairment, other sensory impairments, or cognitive disabilities. The standards are also limited in their application to a relatively narrow category of MDE used in physician’s offices or hospitals. This excludes a wide range of important equipment, including telehealth equipment, at-home diagnostic tools, and more.</w:t>
      </w:r>
    </w:p>
    <w:p w14:paraId="76EAE471" w14:textId="77777777" w:rsidR="00B840A0" w:rsidRDefault="00B840A0">
      <w:pPr>
        <w:pStyle w:val="BodyText"/>
      </w:pPr>
    </w:p>
    <w:p w14:paraId="2C4ABE9C" w14:textId="77777777" w:rsidR="00B840A0" w:rsidRDefault="00000000">
      <w:pPr>
        <w:pStyle w:val="BodyText"/>
        <w:ind w:left="119" w:right="146"/>
      </w:pPr>
      <w:r>
        <w:t>OCR</w:t>
      </w:r>
      <w:r>
        <w:rPr>
          <w:spacing w:val="-3"/>
        </w:rPr>
        <w:t xml:space="preserve"> </w:t>
      </w:r>
      <w:r>
        <w:t>should</w:t>
      </w:r>
      <w:r>
        <w:rPr>
          <w:spacing w:val="-4"/>
        </w:rPr>
        <w:t xml:space="preserve"> </w:t>
      </w:r>
      <w:r>
        <w:t>move</w:t>
      </w:r>
      <w:r>
        <w:rPr>
          <w:spacing w:val="-3"/>
        </w:rPr>
        <w:t xml:space="preserve"> </w:t>
      </w:r>
      <w:r>
        <w:t>forward</w:t>
      </w:r>
      <w:r>
        <w:rPr>
          <w:spacing w:val="-4"/>
        </w:rPr>
        <w:t xml:space="preserve"> </w:t>
      </w:r>
      <w:r>
        <w:t>quickly</w:t>
      </w:r>
      <w:r>
        <w:rPr>
          <w:spacing w:val="-2"/>
        </w:rPr>
        <w:t xml:space="preserve"> </w:t>
      </w:r>
      <w:r>
        <w:t>with</w:t>
      </w:r>
      <w:r>
        <w:rPr>
          <w:spacing w:val="-6"/>
        </w:rPr>
        <w:t xml:space="preserve"> </w:t>
      </w:r>
      <w:r>
        <w:t>incorporating</w:t>
      </w:r>
      <w:r>
        <w:rPr>
          <w:spacing w:val="-2"/>
        </w:rPr>
        <w:t xml:space="preserve"> </w:t>
      </w:r>
      <w:r>
        <w:t>the</w:t>
      </w:r>
      <w:r>
        <w:rPr>
          <w:spacing w:val="-3"/>
        </w:rPr>
        <w:t xml:space="preserve"> </w:t>
      </w:r>
      <w:r>
        <w:t>2017</w:t>
      </w:r>
      <w:r>
        <w:rPr>
          <w:spacing w:val="-2"/>
        </w:rPr>
        <w:t xml:space="preserve"> </w:t>
      </w:r>
      <w:r>
        <w:t>Access</w:t>
      </w:r>
      <w:r>
        <w:rPr>
          <w:spacing w:val="-4"/>
        </w:rPr>
        <w:t xml:space="preserve"> </w:t>
      </w:r>
      <w:r>
        <w:t>Board</w:t>
      </w:r>
      <w:r>
        <w:rPr>
          <w:spacing w:val="-4"/>
        </w:rPr>
        <w:t xml:space="preserve"> </w:t>
      </w:r>
      <w:r>
        <w:t>standards</w:t>
      </w:r>
      <w:r>
        <w:rPr>
          <w:spacing w:val="-4"/>
        </w:rPr>
        <w:t xml:space="preserve"> </w:t>
      </w:r>
      <w:r>
        <w:t>to</w:t>
      </w:r>
      <w:r>
        <w:rPr>
          <w:spacing w:val="-3"/>
        </w:rPr>
        <w:t xml:space="preserve"> </w:t>
      </w:r>
      <w:r>
        <w:t>help advance accessibility for individuals with mobility impairment – these standards have been published for years and yet voluntary compliance is much too infrequent. We support the enforcement of these standards in the final Section 1557 rule and in future rulemaking by the Department. While additional action should not delay action on the current standards, we strongly urge the Department to develop additional accessibility standards and take further action to ensure that</w:t>
      </w:r>
      <w:r>
        <w:rPr>
          <w:spacing w:val="-2"/>
        </w:rPr>
        <w:t xml:space="preserve"> </w:t>
      </w:r>
      <w:r>
        <w:t>accessibility of</w:t>
      </w:r>
      <w:r>
        <w:rPr>
          <w:spacing w:val="-1"/>
        </w:rPr>
        <w:t xml:space="preserve"> </w:t>
      </w:r>
      <w:r>
        <w:t>medical equipment applies</w:t>
      </w:r>
      <w:r>
        <w:rPr>
          <w:spacing w:val="-3"/>
        </w:rPr>
        <w:t xml:space="preserve"> </w:t>
      </w:r>
      <w:r>
        <w:t>to individuals</w:t>
      </w:r>
      <w:r>
        <w:rPr>
          <w:spacing w:val="-1"/>
        </w:rPr>
        <w:t xml:space="preserve"> </w:t>
      </w:r>
      <w:r>
        <w:t>with all</w:t>
      </w:r>
      <w:r>
        <w:rPr>
          <w:spacing w:val="-1"/>
        </w:rPr>
        <w:t xml:space="preserve"> </w:t>
      </w:r>
      <w:r>
        <w:t>types</w:t>
      </w:r>
      <w:r>
        <w:rPr>
          <w:spacing w:val="-1"/>
        </w:rPr>
        <w:t xml:space="preserve"> </w:t>
      </w:r>
      <w:r>
        <w:t>of disabilities, as well as</w:t>
      </w:r>
      <w:r>
        <w:rPr>
          <w:spacing w:val="-2"/>
        </w:rPr>
        <w:t xml:space="preserve"> </w:t>
      </w:r>
      <w:r>
        <w:t>the full range</w:t>
      </w:r>
      <w:r>
        <w:rPr>
          <w:spacing w:val="-1"/>
        </w:rPr>
        <w:t xml:space="preserve"> </w:t>
      </w:r>
      <w:r>
        <w:t>of equipment that is used to</w:t>
      </w:r>
      <w:r>
        <w:rPr>
          <w:spacing w:val="-1"/>
        </w:rPr>
        <w:t xml:space="preserve"> </w:t>
      </w:r>
      <w:r>
        <w:t xml:space="preserve">carry out health programs or </w:t>
      </w:r>
      <w:r>
        <w:rPr>
          <w:spacing w:val="-2"/>
        </w:rPr>
        <w:t>activities.</w:t>
      </w:r>
    </w:p>
    <w:p w14:paraId="4A7F2E61" w14:textId="77777777" w:rsidR="00B840A0" w:rsidRDefault="00000000">
      <w:pPr>
        <w:spacing w:before="1"/>
        <w:ind w:left="4733" w:right="4713"/>
        <w:jc w:val="center"/>
        <w:rPr>
          <w:sz w:val="24"/>
        </w:rPr>
      </w:pPr>
      <w:r>
        <w:rPr>
          <w:spacing w:val="-2"/>
          <w:sz w:val="24"/>
        </w:rPr>
        <w:t>*************</w:t>
      </w:r>
    </w:p>
    <w:p w14:paraId="0C231290" w14:textId="77777777" w:rsidR="00B840A0" w:rsidRDefault="00B840A0">
      <w:pPr>
        <w:jc w:val="center"/>
        <w:rPr>
          <w:sz w:val="24"/>
        </w:rPr>
        <w:sectPr w:rsidR="00B840A0">
          <w:pgSz w:w="12240" w:h="15840"/>
          <w:pgMar w:top="940" w:right="620" w:bottom="1440" w:left="600" w:header="0" w:footer="1259" w:gutter="0"/>
          <w:cols w:space="720"/>
        </w:sectPr>
      </w:pPr>
    </w:p>
    <w:p w14:paraId="388BD131" w14:textId="77777777" w:rsidR="00B840A0" w:rsidRDefault="00000000">
      <w:pPr>
        <w:pStyle w:val="BodyText"/>
        <w:spacing w:before="73"/>
        <w:ind w:left="120" w:right="788"/>
        <w:jc w:val="both"/>
      </w:pPr>
      <w:r>
        <w:lastRenderedPageBreak/>
        <w:t>Thank you for your attention to these comments. If you have</w:t>
      </w:r>
      <w:r>
        <w:rPr>
          <w:spacing w:val="-1"/>
        </w:rPr>
        <w:t xml:space="preserve"> </w:t>
      </w:r>
      <w:r>
        <w:t>further questions or if we</w:t>
      </w:r>
      <w:r>
        <w:rPr>
          <w:spacing w:val="-1"/>
        </w:rPr>
        <w:t xml:space="preserve"> </w:t>
      </w:r>
      <w:r>
        <w:t>can provide</w:t>
      </w:r>
      <w:r>
        <w:rPr>
          <w:spacing w:val="-3"/>
        </w:rPr>
        <w:t xml:space="preserve"> </w:t>
      </w:r>
      <w:r>
        <w:t>any</w:t>
      </w:r>
      <w:r>
        <w:rPr>
          <w:spacing w:val="-3"/>
        </w:rPr>
        <w:t xml:space="preserve"> </w:t>
      </w:r>
      <w:r>
        <w:t>additional</w:t>
      </w:r>
      <w:r>
        <w:rPr>
          <w:spacing w:val="-3"/>
        </w:rPr>
        <w:t xml:space="preserve"> </w:t>
      </w:r>
      <w:r>
        <w:t>information,</w:t>
      </w:r>
      <w:r>
        <w:rPr>
          <w:spacing w:val="-3"/>
        </w:rPr>
        <w:t xml:space="preserve"> </w:t>
      </w:r>
      <w:r>
        <w:t>please</w:t>
      </w:r>
      <w:r>
        <w:rPr>
          <w:spacing w:val="-5"/>
        </w:rPr>
        <w:t xml:space="preserve"> </w:t>
      </w:r>
      <w:r>
        <w:t>contact</w:t>
      </w:r>
      <w:r>
        <w:rPr>
          <w:spacing w:val="-3"/>
        </w:rPr>
        <w:t xml:space="preserve"> </w:t>
      </w:r>
      <w:r>
        <w:t>Douglas</w:t>
      </w:r>
      <w:r>
        <w:rPr>
          <w:spacing w:val="-4"/>
        </w:rPr>
        <w:t xml:space="preserve"> </w:t>
      </w:r>
      <w:r>
        <w:t>George</w:t>
      </w:r>
      <w:r>
        <w:rPr>
          <w:spacing w:val="-3"/>
        </w:rPr>
        <w:t xml:space="preserve"> </w:t>
      </w:r>
      <w:r>
        <w:t>Towne,</w:t>
      </w:r>
      <w:r>
        <w:rPr>
          <w:spacing w:val="-3"/>
        </w:rPr>
        <w:t xml:space="preserve"> </w:t>
      </w:r>
      <w:r>
        <w:t>Chair</w:t>
      </w:r>
      <w:r>
        <w:rPr>
          <w:spacing w:val="-4"/>
        </w:rPr>
        <w:t xml:space="preserve"> </w:t>
      </w:r>
      <w:r>
        <w:t>and</w:t>
      </w:r>
      <w:r>
        <w:rPr>
          <w:spacing w:val="-6"/>
        </w:rPr>
        <w:t xml:space="preserve"> </w:t>
      </w:r>
      <w:r>
        <w:t xml:space="preserve">Chief Executive Officer, by email at </w:t>
      </w:r>
      <w:hyperlink r:id="rId10">
        <w:r>
          <w:rPr>
            <w:color w:val="0562C1"/>
            <w:u w:val="single" w:color="0562C1"/>
          </w:rPr>
          <w:t>chair-ceo@accessready.org</w:t>
        </w:r>
      </w:hyperlink>
      <w:r>
        <w:rPr>
          <w:color w:val="0562C1"/>
        </w:rPr>
        <w:t xml:space="preserve"> </w:t>
      </w:r>
      <w:r>
        <w:t>or by phone at 727-531-1000.</w:t>
      </w:r>
    </w:p>
    <w:p w14:paraId="66E50516" w14:textId="77777777" w:rsidR="00B840A0" w:rsidRDefault="00B840A0">
      <w:pPr>
        <w:pStyle w:val="BodyText"/>
        <w:spacing w:before="1"/>
      </w:pPr>
    </w:p>
    <w:p w14:paraId="7B011759" w14:textId="77777777" w:rsidR="00B840A0" w:rsidRDefault="00000000">
      <w:pPr>
        <w:pStyle w:val="BodyText"/>
        <w:ind w:left="120"/>
      </w:pPr>
      <w:r>
        <w:rPr>
          <w:spacing w:val="-2"/>
        </w:rPr>
        <w:t>Sincerely,</w:t>
      </w:r>
    </w:p>
    <w:p w14:paraId="73E9A2EC" w14:textId="77777777" w:rsidR="00B840A0" w:rsidRDefault="00B840A0">
      <w:pPr>
        <w:pStyle w:val="BodyText"/>
        <w:spacing w:before="11"/>
        <w:rPr>
          <w:sz w:val="23"/>
        </w:rPr>
      </w:pPr>
    </w:p>
    <w:p w14:paraId="651C1FA8" w14:textId="77777777" w:rsidR="00B840A0" w:rsidRDefault="00000000">
      <w:pPr>
        <w:pStyle w:val="BodyText"/>
        <w:ind w:left="120" w:right="6924"/>
      </w:pPr>
      <w:r>
        <w:t>Douglas George Towne (Doug) Chair</w:t>
      </w:r>
      <w:r>
        <w:rPr>
          <w:spacing w:val="-9"/>
        </w:rPr>
        <w:t xml:space="preserve"> </w:t>
      </w:r>
      <w:r>
        <w:t>and</w:t>
      </w:r>
      <w:r>
        <w:rPr>
          <w:spacing w:val="-10"/>
        </w:rPr>
        <w:t xml:space="preserve"> </w:t>
      </w:r>
      <w:r>
        <w:t>Chief</w:t>
      </w:r>
      <w:r>
        <w:rPr>
          <w:spacing w:val="-9"/>
        </w:rPr>
        <w:t xml:space="preserve"> </w:t>
      </w:r>
      <w:r>
        <w:t>Executive</w:t>
      </w:r>
      <w:r>
        <w:rPr>
          <w:spacing w:val="-9"/>
        </w:rPr>
        <w:t xml:space="preserve"> </w:t>
      </w:r>
      <w:r>
        <w:t>Officer</w:t>
      </w:r>
    </w:p>
    <w:p w14:paraId="02F76DD7" w14:textId="77777777" w:rsidR="00B840A0" w:rsidRDefault="00000000">
      <w:pPr>
        <w:pStyle w:val="BodyText"/>
        <w:spacing w:before="1"/>
        <w:ind w:left="120"/>
      </w:pPr>
      <w:r>
        <w:t>Access</w:t>
      </w:r>
      <w:r>
        <w:rPr>
          <w:spacing w:val="-6"/>
        </w:rPr>
        <w:t xml:space="preserve"> </w:t>
      </w:r>
      <w:r>
        <w:t>Ready,</w:t>
      </w:r>
      <w:r>
        <w:rPr>
          <w:spacing w:val="-1"/>
        </w:rPr>
        <w:t xml:space="preserve"> </w:t>
      </w:r>
      <w:r>
        <w:t>Inc.</w:t>
      </w:r>
      <w:r>
        <w:rPr>
          <w:spacing w:val="-1"/>
        </w:rPr>
        <w:t xml:space="preserve"> </w:t>
      </w:r>
      <w:r>
        <w:t>/</w:t>
      </w:r>
      <w:r>
        <w:rPr>
          <w:spacing w:val="-2"/>
        </w:rPr>
        <w:t xml:space="preserve"> </w:t>
      </w:r>
      <w:r>
        <w:t>Access</w:t>
      </w:r>
      <w:r>
        <w:rPr>
          <w:spacing w:val="-3"/>
        </w:rPr>
        <w:t xml:space="preserve"> </w:t>
      </w:r>
      <w:r>
        <w:t>Ready</w:t>
      </w:r>
      <w:r>
        <w:rPr>
          <w:spacing w:val="-1"/>
        </w:rPr>
        <w:t xml:space="preserve"> </w:t>
      </w:r>
      <w:r>
        <w:rPr>
          <w:spacing w:val="-2"/>
        </w:rPr>
        <w:t>Strategic</w:t>
      </w:r>
    </w:p>
    <w:p w14:paraId="693D839B" w14:textId="77777777" w:rsidR="00B840A0" w:rsidRDefault="00B840A0">
      <w:pPr>
        <w:pStyle w:val="BodyText"/>
        <w:spacing w:before="11"/>
        <w:rPr>
          <w:sz w:val="23"/>
        </w:rPr>
      </w:pPr>
    </w:p>
    <w:p w14:paraId="77EEBB7B" w14:textId="77777777" w:rsidR="00B840A0" w:rsidRDefault="00000000">
      <w:pPr>
        <w:pStyle w:val="BodyText"/>
        <w:ind w:left="120" w:right="7808"/>
      </w:pPr>
      <w:r>
        <w:t>7780 49</w:t>
      </w:r>
      <w:proofErr w:type="spellStart"/>
      <w:r>
        <w:rPr>
          <w:position w:val="6"/>
          <w:sz w:val="16"/>
        </w:rPr>
        <w:t>th</w:t>
      </w:r>
      <w:proofErr w:type="spellEnd"/>
      <w:r>
        <w:rPr>
          <w:spacing w:val="40"/>
          <w:position w:val="6"/>
          <w:sz w:val="16"/>
        </w:rPr>
        <w:t xml:space="preserve"> </w:t>
      </w:r>
      <w:r>
        <w:t>Street North Executive Suite 425 Pinellas</w:t>
      </w:r>
      <w:r>
        <w:rPr>
          <w:spacing w:val="-12"/>
        </w:rPr>
        <w:t xml:space="preserve"> </w:t>
      </w:r>
      <w:r>
        <w:t>Park,</w:t>
      </w:r>
      <w:r>
        <w:rPr>
          <w:spacing w:val="-11"/>
        </w:rPr>
        <w:t xml:space="preserve"> </w:t>
      </w:r>
      <w:r>
        <w:t>FL</w:t>
      </w:r>
      <w:r>
        <w:rPr>
          <w:spacing w:val="-13"/>
        </w:rPr>
        <w:t xml:space="preserve"> </w:t>
      </w:r>
      <w:r>
        <w:t xml:space="preserve">33781 </w:t>
      </w:r>
      <w:hyperlink r:id="rId11">
        <w:r>
          <w:rPr>
            <w:color w:val="0562C1"/>
            <w:spacing w:val="-2"/>
            <w:u w:val="single" w:color="0562C1"/>
          </w:rPr>
          <w:t>www.accessready.org</w:t>
        </w:r>
      </w:hyperlink>
    </w:p>
    <w:sectPr w:rsidR="00B840A0">
      <w:pgSz w:w="12240" w:h="15840"/>
      <w:pgMar w:top="940" w:right="620" w:bottom="1440" w:left="600" w:header="0" w:footer="1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4AEF4" w14:textId="77777777" w:rsidR="00556B08" w:rsidRDefault="00556B08">
      <w:r>
        <w:separator/>
      </w:r>
    </w:p>
  </w:endnote>
  <w:endnote w:type="continuationSeparator" w:id="0">
    <w:p w14:paraId="42A2C4F0" w14:textId="77777777" w:rsidR="00556B08" w:rsidRDefault="0055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4A5F" w14:textId="77777777" w:rsidR="00B840A0" w:rsidRDefault="00000000">
    <w:pPr>
      <w:pStyle w:val="BodyText"/>
      <w:spacing w:line="14" w:lineRule="auto"/>
      <w:rPr>
        <w:sz w:val="20"/>
      </w:rPr>
    </w:pPr>
    <w:r>
      <w:rPr>
        <w:noProof/>
      </w:rPr>
      <w:drawing>
        <wp:anchor distT="0" distB="0" distL="0" distR="0" simplePos="0" relativeHeight="487540224" behindDoc="1" locked="0" layoutInCell="1" allowOverlap="1" wp14:anchorId="055FFD89" wp14:editId="4E8E266B">
          <wp:simplePos x="0" y="0"/>
          <wp:positionH relativeFrom="page">
            <wp:posOffset>463266</wp:posOffset>
          </wp:positionH>
          <wp:positionV relativeFrom="page">
            <wp:posOffset>9131807</wp:posOffset>
          </wp:positionV>
          <wp:extent cx="6830523" cy="4609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30523" cy="4609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30FE5" w14:textId="77777777" w:rsidR="00556B08" w:rsidRDefault="00556B08">
      <w:r>
        <w:separator/>
      </w:r>
    </w:p>
  </w:footnote>
  <w:footnote w:type="continuationSeparator" w:id="0">
    <w:p w14:paraId="0C3A57F5" w14:textId="77777777" w:rsidR="00556B08" w:rsidRDefault="00556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40A0"/>
    <w:rsid w:val="004E603A"/>
    <w:rsid w:val="00556B08"/>
    <w:rsid w:val="008F65FA"/>
    <w:rsid w:val="00A523F2"/>
    <w:rsid w:val="00B840A0"/>
    <w:rsid w:val="00BD019A"/>
    <w:rsid w:val="00EF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842B"/>
  <w15:docId w15:val="{D8815CC0-E0B8-46A3-837E-20B5835E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w:eastAsia="Century" w:hAnsi="Century" w:cs="Centur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0"/>
    </w:pPr>
    <w:rPr>
      <w:i/>
      <w:iC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ccessready.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egulations.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accessready.org/" TargetMode="External"/><Relationship Id="rId5" Type="http://schemas.openxmlformats.org/officeDocument/2006/relationships/endnotes" Target="endnotes.xml"/><Relationship Id="rId10" Type="http://schemas.openxmlformats.org/officeDocument/2006/relationships/hyperlink" Target="mailto:chair-ceo@accessready.org" TargetMode="Externa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Access Ready Comments on Section 1557 NPRM 9-30-2022</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3PPI: Access Ready Comments on Section 1557 NPRM 9-30-2022</dc:title>
  <dc:subject>wdNOSTAMP</dc:subject>
  <dc:creator>Microsoft Office User</dc:creator>
  <dc:description/>
  <cp:lastModifiedBy>Aaron Di Blasi</cp:lastModifiedBy>
  <cp:revision>5</cp:revision>
  <cp:lastPrinted>2023-09-28T23:40:00Z</cp:lastPrinted>
  <dcterms:created xsi:type="dcterms:W3CDTF">2023-09-28T23:35:00Z</dcterms:created>
  <dcterms:modified xsi:type="dcterms:W3CDTF">2023-09-28T23:40:00Z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Acrobat PDFMaker 22 for Word</vt:lpwstr>
  </property>
  <property fmtid="{D5CDD505-2E9C-101B-9397-08002B2CF9AE}" pid="4" name="LastSaved">
    <vt:filetime>2023-09-28T00:00:00Z</vt:filetime>
  </property>
  <property fmtid="{D5CDD505-2E9C-101B-9397-08002B2CF9AE}" pid="5" name="Producer">
    <vt:lpwstr>Adobe PDF Library 22.2.244</vt:lpwstr>
  </property>
  <property fmtid="{D5CDD505-2E9C-101B-9397-08002B2CF9AE}" pid="6" name="SourceModified">
    <vt:lpwstr>D:20220930200326</vt:lpwstr>
  </property>
</Properties>
</file>